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D719" w14:textId="760C6E47" w:rsidR="000B2705" w:rsidRDefault="000B2705" w:rsidP="000B2705">
      <w:pPr>
        <w:pStyle w:val="Heading1"/>
      </w:pPr>
      <w:r>
        <w:t>Operational Policy: Use of BLENNZ Facilities (NAG 4)</w:t>
      </w:r>
    </w:p>
    <w:p w14:paraId="672A6659" w14:textId="522C48ED" w:rsidR="000B2705" w:rsidRDefault="0004423C" w:rsidP="00B13993">
      <w:pPr>
        <w:pStyle w:val="Heading2"/>
      </w:pPr>
      <w:r>
        <w:t>Blind &amp; Low Vision Education Network NZ</w:t>
      </w:r>
    </w:p>
    <w:p w14:paraId="2632739D" w14:textId="77777777" w:rsidR="000B2705" w:rsidRDefault="000B2705" w:rsidP="000B2705">
      <w:pPr>
        <w:pStyle w:val="Heading2"/>
      </w:pPr>
      <w:r>
        <w:t>Statement of Intent:</w:t>
      </w:r>
    </w:p>
    <w:p w14:paraId="72DDFA1C" w14:textId="77777777" w:rsidR="000B2705" w:rsidRDefault="000B2705" w:rsidP="000B2705">
      <w:r>
        <w:t xml:space="preserve">The Blind &amp; Low Vision Education Network NZ (BLENNZ) is committed to ensuring its facilities are used in a safe and appropriate manner. Facilities include </w:t>
      </w:r>
      <w:r w:rsidR="006E0B49">
        <w:t>the Homai Campus School and R</w:t>
      </w:r>
      <w:r w:rsidR="00C72CAF">
        <w:t xml:space="preserve">esidential (including The Bach), the </w:t>
      </w:r>
      <w:r w:rsidR="00D04215">
        <w:t>Early Learning Service</w:t>
      </w:r>
      <w:r w:rsidR="00C72CAF">
        <w:t>, the H</w:t>
      </w:r>
      <w:r w:rsidR="00CE3999">
        <w:t>omai Swimming Pool,</w:t>
      </w:r>
      <w:r w:rsidR="00C72CAF">
        <w:t xml:space="preserve"> Visual Resource Centres</w:t>
      </w:r>
      <w:r w:rsidR="00CE3999">
        <w:t xml:space="preserve"> and Satellite classes</w:t>
      </w:r>
      <w:r w:rsidR="00C72CAF">
        <w:t>.</w:t>
      </w:r>
    </w:p>
    <w:p w14:paraId="2D4D77B8" w14:textId="77777777" w:rsidR="00905AB3" w:rsidRDefault="00905AB3" w:rsidP="000B2705">
      <w:r>
        <w:t xml:space="preserve">This policy is to provide guidance to those </w:t>
      </w:r>
      <w:r w:rsidR="00D04215">
        <w:t xml:space="preserve">outside of BLENNZ </w:t>
      </w:r>
      <w:r>
        <w:t>who may wish to use BLENNZ facilities.</w:t>
      </w:r>
      <w:r w:rsidR="00D04215">
        <w:t xml:space="preserve"> </w:t>
      </w:r>
    </w:p>
    <w:p w14:paraId="3C1D9ADE" w14:textId="77777777" w:rsidR="00615CA0" w:rsidRDefault="00615CA0" w:rsidP="000B2705">
      <w:r>
        <w:t>BLENNZ reserves the right to refuse approval for the use of its facilities as it sees fit.</w:t>
      </w:r>
    </w:p>
    <w:p w14:paraId="46AB0C51" w14:textId="77777777" w:rsidR="000B2705" w:rsidRDefault="000B2705" w:rsidP="000B2705">
      <w:r>
        <w:t xml:space="preserve">At all times the safety of BLENNZ </w:t>
      </w:r>
      <w:proofErr w:type="spellStart"/>
      <w:r>
        <w:t>ākonga</w:t>
      </w:r>
      <w:proofErr w:type="spellEnd"/>
      <w:r>
        <w:t xml:space="preserve">, visiting </w:t>
      </w:r>
      <w:r w:rsidR="00C72CAF">
        <w:t>whānau</w:t>
      </w:r>
      <w:r>
        <w:t xml:space="preserve"> and staff is paramount.</w:t>
      </w:r>
    </w:p>
    <w:p w14:paraId="6C84ED37" w14:textId="77777777" w:rsidR="000B2705" w:rsidRDefault="000B2705" w:rsidP="000B2705">
      <w:pPr>
        <w:pStyle w:val="Heading2"/>
      </w:pPr>
      <w:r>
        <w:t>Policy Requirements:</w:t>
      </w:r>
    </w:p>
    <w:p w14:paraId="4A52455A" w14:textId="77777777" w:rsidR="00275BBB" w:rsidRDefault="000B2705" w:rsidP="000B2705">
      <w:pPr>
        <w:ind w:left="720" w:hanging="720"/>
      </w:pPr>
      <w:r>
        <w:t>1.</w:t>
      </w:r>
      <w:r>
        <w:tab/>
      </w:r>
      <w:proofErr w:type="spellStart"/>
      <w:r>
        <w:t>Hireage</w:t>
      </w:r>
      <w:proofErr w:type="spellEnd"/>
      <w:r>
        <w:t xml:space="preserve"> of BLENNZ facilities </w:t>
      </w:r>
      <w:r w:rsidR="00275BBB">
        <w:t xml:space="preserve">for “casual use” will be approved by the Principal through the Senior Management Team. Examples of casual use </w:t>
      </w:r>
      <w:proofErr w:type="spellStart"/>
      <w:r w:rsidR="00275BBB">
        <w:t>hireage</w:t>
      </w:r>
      <w:proofErr w:type="spellEnd"/>
      <w:r w:rsidR="00275BBB">
        <w:t xml:space="preserve"> are:</w:t>
      </w:r>
    </w:p>
    <w:p w14:paraId="356F1597" w14:textId="77777777" w:rsidR="00275BBB" w:rsidRDefault="00275BBB" w:rsidP="00275BBB">
      <w:pPr>
        <w:pStyle w:val="ListParagraph"/>
        <w:numPr>
          <w:ilvl w:val="0"/>
          <w:numId w:val="2"/>
        </w:numPr>
      </w:pPr>
      <w:proofErr w:type="spellStart"/>
      <w:r>
        <w:t>Hireage</w:t>
      </w:r>
      <w:proofErr w:type="spellEnd"/>
      <w:r>
        <w:t xml:space="preserve"> of rooms for an event</w:t>
      </w:r>
    </w:p>
    <w:p w14:paraId="0D30F469" w14:textId="77777777" w:rsidR="00275BBB" w:rsidRDefault="00275BBB" w:rsidP="00275BBB">
      <w:pPr>
        <w:pStyle w:val="ListParagraph"/>
        <w:numPr>
          <w:ilvl w:val="0"/>
          <w:numId w:val="2"/>
        </w:numPr>
      </w:pPr>
      <w:r>
        <w:t>Use</w:t>
      </w:r>
      <w:r w:rsidR="00C72CAF">
        <w:t xml:space="preserve"> of the grounds for an event(s)</w:t>
      </w:r>
    </w:p>
    <w:p w14:paraId="546B4351" w14:textId="77777777" w:rsidR="00C72CAF" w:rsidRDefault="00C72CAF" w:rsidP="00275BBB">
      <w:pPr>
        <w:pStyle w:val="ListParagraph"/>
        <w:numPr>
          <w:ilvl w:val="0"/>
          <w:numId w:val="2"/>
        </w:numPr>
      </w:pPr>
      <w:proofErr w:type="spellStart"/>
      <w:r>
        <w:t>Hireage</w:t>
      </w:r>
      <w:proofErr w:type="spellEnd"/>
      <w:r>
        <w:t xml:space="preserve"> of the swimming pool.</w:t>
      </w:r>
    </w:p>
    <w:p w14:paraId="3CA2B5BA" w14:textId="77777777" w:rsidR="000B2705" w:rsidRDefault="00275BBB" w:rsidP="000B2705">
      <w:pPr>
        <w:ind w:left="720" w:hanging="720"/>
      </w:pPr>
      <w:r>
        <w:t>2.</w:t>
      </w:r>
      <w:r>
        <w:tab/>
        <w:t xml:space="preserve">Approval for third party </w:t>
      </w:r>
      <w:proofErr w:type="spellStart"/>
      <w:r>
        <w:t>hir</w:t>
      </w:r>
      <w:r w:rsidR="00E070D6">
        <w:t>e</w:t>
      </w:r>
      <w:r>
        <w:t>age</w:t>
      </w:r>
      <w:proofErr w:type="spellEnd"/>
      <w:r>
        <w:t xml:space="preserve"> </w:t>
      </w:r>
      <w:r w:rsidR="000B2705">
        <w:t xml:space="preserve">will be </w:t>
      </w:r>
      <w:r>
        <w:t xml:space="preserve">done </w:t>
      </w:r>
      <w:r w:rsidR="000B2705">
        <w:t>in accordance with the Ministry of Education Third Party Occupancy Agreement.</w:t>
      </w:r>
      <w:r>
        <w:t xml:space="preserve"> Examples of common situations are:</w:t>
      </w:r>
    </w:p>
    <w:p w14:paraId="223F7DCD" w14:textId="77777777" w:rsidR="00275BBB" w:rsidRDefault="00275BBB" w:rsidP="00275BBB">
      <w:pPr>
        <w:pStyle w:val="ListParagraph"/>
        <w:numPr>
          <w:ilvl w:val="0"/>
          <w:numId w:val="1"/>
        </w:numPr>
      </w:pPr>
      <w:r>
        <w:t>Land lease</w:t>
      </w:r>
    </w:p>
    <w:p w14:paraId="3A708D42" w14:textId="77777777" w:rsidR="00275BBB" w:rsidRDefault="00275BBB" w:rsidP="00275BBB">
      <w:pPr>
        <w:pStyle w:val="ListParagraph"/>
        <w:numPr>
          <w:ilvl w:val="0"/>
          <w:numId w:val="1"/>
        </w:numPr>
      </w:pPr>
      <w:r>
        <w:t>Building lease</w:t>
      </w:r>
    </w:p>
    <w:p w14:paraId="75288334" w14:textId="77777777" w:rsidR="00275BBB" w:rsidRDefault="00275BBB" w:rsidP="00275BBB">
      <w:pPr>
        <w:pStyle w:val="ListParagraph"/>
        <w:numPr>
          <w:ilvl w:val="0"/>
          <w:numId w:val="1"/>
        </w:numPr>
      </w:pPr>
      <w:r>
        <w:t>Share</w:t>
      </w:r>
      <w:r w:rsidR="00E070D6">
        <w:t>d</w:t>
      </w:r>
      <w:r>
        <w:t xml:space="preserve"> use license </w:t>
      </w:r>
      <w:r w:rsidR="00905AB3">
        <w:t>of a building or pool.</w:t>
      </w:r>
    </w:p>
    <w:p w14:paraId="5D85BCF7" w14:textId="77777777" w:rsidR="00C72CAF" w:rsidRDefault="00E070D6" w:rsidP="000B2705">
      <w:pPr>
        <w:ind w:left="720" w:hanging="720"/>
      </w:pPr>
      <w:r>
        <w:t>3</w:t>
      </w:r>
      <w:r w:rsidR="000B2705">
        <w:t>.</w:t>
      </w:r>
      <w:r w:rsidR="000B2705">
        <w:tab/>
        <w:t>All applications by outside organisations must be submitted in advance on the correct form and clearly indicate facilities and/or areas needing to be accessed. Access to unauthorised areas is strictly prohibited.</w:t>
      </w:r>
      <w:r w:rsidR="00802DFE">
        <w:t xml:space="preserve"> </w:t>
      </w:r>
    </w:p>
    <w:p w14:paraId="5B6C05B9" w14:textId="77777777" w:rsidR="000B2705" w:rsidRDefault="00802DFE" w:rsidP="000B2705">
      <w:pPr>
        <w:ind w:left="720" w:hanging="720"/>
      </w:pPr>
      <w:r>
        <w:t>4.</w:t>
      </w:r>
      <w:r w:rsidR="000B2705">
        <w:tab/>
        <w:t xml:space="preserve">Hirers must </w:t>
      </w:r>
      <w:r w:rsidR="001414BB">
        <w:t>comply with all BLENNZ policies.</w:t>
      </w:r>
      <w:r w:rsidR="00615CA0">
        <w:t xml:space="preserve"> </w:t>
      </w:r>
    </w:p>
    <w:p w14:paraId="13888E42" w14:textId="77777777" w:rsidR="00A81A70" w:rsidRDefault="00E070D6" w:rsidP="000B2705">
      <w:pPr>
        <w:ind w:left="720" w:hanging="720"/>
      </w:pPr>
      <w:r>
        <w:t>5</w:t>
      </w:r>
      <w:r w:rsidR="00615CA0">
        <w:t>.</w:t>
      </w:r>
      <w:r w:rsidR="00615CA0">
        <w:tab/>
        <w:t>To meet its responsibility for compliance with health and safety legislation, BLENNZ will</w:t>
      </w:r>
      <w:r w:rsidR="00A81A70">
        <w:t xml:space="preserve"> provide the hirer of the facilities with:</w:t>
      </w:r>
    </w:p>
    <w:p w14:paraId="151D3B58" w14:textId="77777777" w:rsidR="00A81A70" w:rsidRDefault="00A81A70" w:rsidP="00A81A70">
      <w:pPr>
        <w:pStyle w:val="ListParagraph"/>
        <w:numPr>
          <w:ilvl w:val="1"/>
          <w:numId w:val="6"/>
        </w:numPr>
      </w:pPr>
      <w:r>
        <w:lastRenderedPageBreak/>
        <w:t>a copy of the BLENNZ Health and Safety Site Statement</w:t>
      </w:r>
    </w:p>
    <w:p w14:paraId="6E2E6085" w14:textId="0DFEDDB5" w:rsidR="00A81A70" w:rsidRDefault="7A9F0885" w:rsidP="00A81A70">
      <w:pPr>
        <w:pStyle w:val="ListParagraph"/>
        <w:numPr>
          <w:ilvl w:val="1"/>
          <w:numId w:val="6"/>
        </w:numPr>
      </w:pPr>
      <w:r>
        <w:t xml:space="preserve">a copy of the BLENNZ Health and Safety: Visitors </w:t>
      </w:r>
      <w:r w:rsidR="04F54E48">
        <w:t>P</w:t>
      </w:r>
      <w:r>
        <w:t>olicy</w:t>
      </w:r>
    </w:p>
    <w:p w14:paraId="37B7E9CC" w14:textId="77777777" w:rsidR="00615CA0" w:rsidRDefault="00B368A7">
      <w:pPr>
        <w:pStyle w:val="ListParagraph"/>
        <w:numPr>
          <w:ilvl w:val="1"/>
          <w:numId w:val="6"/>
        </w:numPr>
      </w:pPr>
      <w:r>
        <w:t>a copy of the appropriate Risk Assessment Register for the facility or area being accessed.</w:t>
      </w:r>
      <w:r w:rsidR="00A81A70">
        <w:t xml:space="preserve"> </w:t>
      </w:r>
    </w:p>
    <w:p w14:paraId="1F3404B0" w14:textId="77777777" w:rsidR="000B2705" w:rsidRDefault="00E070D6" w:rsidP="000B2705">
      <w:pPr>
        <w:ind w:left="720" w:hanging="720"/>
      </w:pPr>
      <w:r>
        <w:t>6</w:t>
      </w:r>
      <w:r w:rsidR="000B2705">
        <w:t>.</w:t>
      </w:r>
      <w:r w:rsidR="000B2705">
        <w:tab/>
        <w:t>Payment for hire will not be required for activities linked to BLENNZ, however reimbursement of operating costs may be sought</w:t>
      </w:r>
      <w:r w:rsidR="00615CA0">
        <w:t xml:space="preserve"> </w:t>
      </w:r>
      <w:proofErr w:type="gramStart"/>
      <w:r w:rsidR="00615CA0">
        <w:t>e.g.</w:t>
      </w:r>
      <w:proofErr w:type="gramEnd"/>
      <w:r w:rsidR="00615CA0">
        <w:t xml:space="preserve"> cleaning, </w:t>
      </w:r>
      <w:r w:rsidR="00042F35">
        <w:t>staff room</w:t>
      </w:r>
      <w:r w:rsidR="00615CA0">
        <w:t xml:space="preserve"> consumables </w:t>
      </w:r>
      <w:r w:rsidR="00042F35">
        <w:t xml:space="preserve">(tea, coffee </w:t>
      </w:r>
      <w:r w:rsidR="00615CA0">
        <w:t>etc</w:t>
      </w:r>
      <w:r w:rsidR="00042F35">
        <w:t>), security and access</w:t>
      </w:r>
      <w:r w:rsidR="000B2705">
        <w:t>. This will be discussed with the hirer prior to any agreement.</w:t>
      </w:r>
    </w:p>
    <w:p w14:paraId="7F5BB987" w14:textId="77777777" w:rsidR="000B2705" w:rsidRDefault="00E070D6" w:rsidP="000B2705">
      <w:pPr>
        <w:ind w:left="720" w:hanging="720"/>
      </w:pPr>
      <w:r>
        <w:t>7</w:t>
      </w:r>
      <w:r w:rsidR="000B2705">
        <w:t>.</w:t>
      </w:r>
      <w:r w:rsidR="000B2705">
        <w:tab/>
        <w:t xml:space="preserve">All income including donations and </w:t>
      </w:r>
      <w:proofErr w:type="spellStart"/>
      <w:r w:rsidR="000B2705">
        <w:t>koha</w:t>
      </w:r>
      <w:proofErr w:type="spellEnd"/>
      <w:r w:rsidR="000B2705">
        <w:t xml:space="preserve"> will be receipted as per procedures in the BLENNZ Cash Management Policy.</w:t>
      </w:r>
    </w:p>
    <w:p w14:paraId="4C8536A5" w14:textId="77777777" w:rsidR="00117501" w:rsidRDefault="00E070D6" w:rsidP="000B2705">
      <w:pPr>
        <w:ind w:left="720" w:hanging="720"/>
      </w:pPr>
      <w:r>
        <w:t>8</w:t>
      </w:r>
      <w:r w:rsidR="00FB2D84">
        <w:t>.</w:t>
      </w:r>
      <w:r w:rsidR="00FB2D84">
        <w:tab/>
        <w:t>To fulfil requirements in terms of emergency evacuation procedures</w:t>
      </w:r>
      <w:r w:rsidR="00117501">
        <w:t>:</w:t>
      </w:r>
    </w:p>
    <w:p w14:paraId="5EF02CF8" w14:textId="77777777" w:rsidR="00117501" w:rsidRDefault="001D5333" w:rsidP="00117501">
      <w:pPr>
        <w:pStyle w:val="ListParagraph"/>
        <w:numPr>
          <w:ilvl w:val="0"/>
          <w:numId w:val="3"/>
        </w:numPr>
      </w:pPr>
      <w:r>
        <w:t xml:space="preserve">a copy of the approval form must be kept with “sign in” documentation and </w:t>
      </w:r>
      <w:r w:rsidR="00117501">
        <w:t xml:space="preserve">be easily accessible in case of an </w:t>
      </w:r>
      <w:proofErr w:type="gramStart"/>
      <w:r w:rsidR="00117501">
        <w:t>emergency</w:t>
      </w:r>
      <w:proofErr w:type="gramEnd"/>
    </w:p>
    <w:p w14:paraId="10E6EC2E" w14:textId="77777777" w:rsidR="00502A24" w:rsidRDefault="00117501" w:rsidP="00502A24">
      <w:pPr>
        <w:pStyle w:val="ListParagraph"/>
        <w:numPr>
          <w:ilvl w:val="0"/>
          <w:numId w:val="3"/>
        </w:numPr>
      </w:pPr>
      <w:r>
        <w:t>a</w:t>
      </w:r>
      <w:r w:rsidR="001D5333">
        <w:t xml:space="preserve"> copy must also be provided to the base school and/or sensory</w:t>
      </w:r>
      <w:r w:rsidR="00502A24">
        <w:t xml:space="preserve"> resource centre as appropriate.</w:t>
      </w:r>
    </w:p>
    <w:p w14:paraId="017B043F" w14:textId="77777777" w:rsidR="00502A24" w:rsidRDefault="00502A24" w:rsidP="00502A24">
      <w:pPr>
        <w:ind w:left="720" w:hanging="720"/>
      </w:pPr>
      <w:r>
        <w:t>9.</w:t>
      </w:r>
      <w:r>
        <w:tab/>
        <w:t xml:space="preserve">The BLENNZ health and safety site statement must be provided to those hiring the facility. </w:t>
      </w:r>
    </w:p>
    <w:p w14:paraId="391BE087" w14:textId="77777777" w:rsidR="00905AB3" w:rsidRDefault="00502A24" w:rsidP="000B2705">
      <w:pPr>
        <w:ind w:left="720" w:hanging="720"/>
      </w:pPr>
      <w:r>
        <w:t>10</w:t>
      </w:r>
      <w:r w:rsidR="00905AB3">
        <w:t>.</w:t>
      </w:r>
      <w:r w:rsidR="00905AB3">
        <w:tab/>
        <w:t>Residential accommodation will not be available to outside organisations during school terms (including weekends).</w:t>
      </w:r>
    </w:p>
    <w:p w14:paraId="0E95198A" w14:textId="77777777" w:rsidR="00905AB3" w:rsidRDefault="00E070D6" w:rsidP="000B2705">
      <w:pPr>
        <w:ind w:left="720" w:hanging="720"/>
      </w:pPr>
      <w:r>
        <w:t>1</w:t>
      </w:r>
      <w:r w:rsidR="00502A24">
        <w:t>1</w:t>
      </w:r>
      <w:r w:rsidR="00905AB3">
        <w:t>.</w:t>
      </w:r>
      <w:r w:rsidR="00905AB3">
        <w:tab/>
        <w:t xml:space="preserve">Meeting rooms located in the </w:t>
      </w:r>
      <w:r>
        <w:t xml:space="preserve">Homai Campus </w:t>
      </w:r>
      <w:r w:rsidR="00905AB3">
        <w:t>school</w:t>
      </w:r>
      <w:r>
        <w:t xml:space="preserve"> area of the building</w:t>
      </w:r>
      <w:r w:rsidR="00905AB3">
        <w:t xml:space="preserve"> will not </w:t>
      </w:r>
      <w:r>
        <w:t xml:space="preserve">usually </w:t>
      </w:r>
      <w:r w:rsidR="00905AB3">
        <w:t>be available for hire during hours the school is open.</w:t>
      </w:r>
    </w:p>
    <w:p w14:paraId="7CB74A32" w14:textId="182732B8" w:rsidR="00E070D6" w:rsidRDefault="00E070D6" w:rsidP="000B2705">
      <w:pPr>
        <w:ind w:left="720" w:hanging="720"/>
      </w:pPr>
      <w:r>
        <w:t>1</w:t>
      </w:r>
      <w:r w:rsidR="00502A24">
        <w:t>2</w:t>
      </w:r>
      <w:r>
        <w:t>.</w:t>
      </w:r>
      <w:r>
        <w:tab/>
        <w:t xml:space="preserve">Access to internet </w:t>
      </w:r>
      <w:r w:rsidR="00E50FA5">
        <w:t xml:space="preserve">and the use of BLENNZ technology </w:t>
      </w:r>
      <w:r>
        <w:t>must be confirmed prior to using the facilities.</w:t>
      </w:r>
      <w:r w:rsidR="00E50FA5">
        <w:t xml:space="preserve">  Any department organising an outside presenter needs to liaise with the presenter to ensure that they bring their own laptop and that their device </w:t>
      </w:r>
      <w:proofErr w:type="gramStart"/>
      <w:r w:rsidR="00E50FA5">
        <w:t>is able to</w:t>
      </w:r>
      <w:proofErr w:type="gramEnd"/>
      <w:r w:rsidR="00E50FA5">
        <w:t xml:space="preserve"> be connected to a BLENNZ Digital Screen Display with the right connectors. The department must also ensure that IT support to the presenter is available if required.</w:t>
      </w:r>
      <w:r w:rsidR="00E50FA5">
        <w:tab/>
      </w:r>
    </w:p>
    <w:p w14:paraId="0BD73883" w14:textId="77777777" w:rsidR="00905AB3" w:rsidRDefault="00615CA0" w:rsidP="000B2705">
      <w:pPr>
        <w:ind w:left="720" w:hanging="720"/>
      </w:pPr>
      <w:r>
        <w:t>1</w:t>
      </w:r>
      <w:r w:rsidR="00502A24">
        <w:t>3</w:t>
      </w:r>
      <w:r w:rsidR="00905AB3">
        <w:t>.</w:t>
      </w:r>
      <w:r w:rsidR="00905AB3">
        <w:tab/>
        <w:t xml:space="preserve">This policy must be read in conjunction with other BLENNZ policies, and in particular the </w:t>
      </w:r>
      <w:r w:rsidR="00E070D6">
        <w:t xml:space="preserve">Cyber-Safety, </w:t>
      </w:r>
      <w:r w:rsidR="00905AB3">
        <w:t>Cash Management, Emergency Procedures, Smoke Free</w:t>
      </w:r>
      <w:r w:rsidR="00C72CAF">
        <w:t>,</w:t>
      </w:r>
      <w:r w:rsidR="00905AB3">
        <w:t xml:space="preserve"> Swimming Pool </w:t>
      </w:r>
      <w:r w:rsidR="00C72CAF">
        <w:t xml:space="preserve">and Outdoor Learning Environment </w:t>
      </w:r>
      <w:r w:rsidR="00905AB3">
        <w:t>policies.</w:t>
      </w:r>
    </w:p>
    <w:p w14:paraId="26A998A7" w14:textId="77777777" w:rsidR="00D506EE" w:rsidRDefault="00D506EE">
      <w:pPr>
        <w:spacing w:before="0" w:beforeAutospacing="0" w:after="160" w:afterAutospacing="0" w:line="259" w:lineRule="auto"/>
      </w:pPr>
      <w:r>
        <w:br w:type="page"/>
      </w:r>
    </w:p>
    <w:p w14:paraId="5ECA2795" w14:textId="32D168AE" w:rsidR="00905AB3" w:rsidRDefault="00615CA0" w:rsidP="000B2705">
      <w:pPr>
        <w:ind w:left="720" w:hanging="720"/>
      </w:pPr>
      <w:r>
        <w:lastRenderedPageBreak/>
        <w:t>1</w:t>
      </w:r>
      <w:r w:rsidR="00502A24">
        <w:t>4</w:t>
      </w:r>
      <w:r w:rsidR="00905AB3">
        <w:t>.</w:t>
      </w:r>
      <w:r w:rsidR="00905AB3">
        <w:tab/>
        <w:t xml:space="preserve">Rates for </w:t>
      </w:r>
      <w:proofErr w:type="spellStart"/>
      <w:r w:rsidR="00905AB3">
        <w:t>hireage</w:t>
      </w:r>
      <w:proofErr w:type="spellEnd"/>
      <w:r w:rsidR="00905AB3">
        <w:t xml:space="preserve"> of BLENNZ Homai Campus facilities are as follows:</w:t>
      </w:r>
    </w:p>
    <w:p w14:paraId="46E5F3A9" w14:textId="35845D64" w:rsidR="00905AB3" w:rsidRDefault="00905AB3" w:rsidP="007975BE">
      <w:pPr>
        <w:pStyle w:val="NoSpacing"/>
      </w:pPr>
      <w:r>
        <w:tab/>
        <w:t>Kauri Room</w:t>
      </w:r>
      <w:r>
        <w:tab/>
      </w:r>
      <w:r>
        <w:tab/>
      </w:r>
      <w:r w:rsidR="0004423C">
        <w:tab/>
      </w:r>
      <w:r>
        <w:t>$</w:t>
      </w:r>
      <w:r w:rsidR="00E50FA5">
        <w:t>5</w:t>
      </w:r>
      <w:r>
        <w:t>0.00 per hour</w:t>
      </w:r>
    </w:p>
    <w:p w14:paraId="55229557" w14:textId="2FA56450" w:rsidR="00905AB3" w:rsidRDefault="00905AB3" w:rsidP="007975BE">
      <w:pPr>
        <w:pStyle w:val="NoSpacing"/>
      </w:pPr>
      <w:r>
        <w:tab/>
        <w:t>Totara</w:t>
      </w:r>
      <w:r w:rsidR="00C03F5E">
        <w:t xml:space="preserve"> Room</w:t>
      </w:r>
      <w:r w:rsidR="00615CA0">
        <w:tab/>
      </w:r>
      <w:r w:rsidR="00C03F5E">
        <w:tab/>
      </w:r>
      <w:r w:rsidR="0004423C">
        <w:tab/>
      </w:r>
      <w:r>
        <w:t>$</w:t>
      </w:r>
      <w:r w:rsidR="00E50FA5">
        <w:t>3</w:t>
      </w:r>
      <w:r>
        <w:t>0.00 per hour</w:t>
      </w:r>
    </w:p>
    <w:p w14:paraId="176AA823" w14:textId="1B1FECEC" w:rsidR="00C03F5E" w:rsidRDefault="00C03F5E" w:rsidP="007975BE">
      <w:pPr>
        <w:pStyle w:val="NoSpacing"/>
      </w:pPr>
      <w:r>
        <w:tab/>
        <w:t>Pohutukawa Room</w:t>
      </w:r>
      <w:r w:rsidR="04B9BA81">
        <w:t xml:space="preserve"> </w:t>
      </w:r>
      <w:r>
        <w:tab/>
      </w:r>
      <w:r w:rsidR="0004423C">
        <w:tab/>
      </w:r>
      <w:r>
        <w:t>$</w:t>
      </w:r>
      <w:r w:rsidR="00E50FA5">
        <w:t>3</w:t>
      </w:r>
      <w:r>
        <w:t>0.00 per hour</w:t>
      </w:r>
    </w:p>
    <w:p w14:paraId="3A664FE7" w14:textId="628B23F6" w:rsidR="73FB8B41" w:rsidRDefault="73FB8B41" w:rsidP="232F987A">
      <w:pPr>
        <w:pStyle w:val="NoSpacing"/>
        <w:ind w:firstLine="720"/>
      </w:pPr>
      <w:r>
        <w:t xml:space="preserve">Early Learning </w:t>
      </w:r>
      <w:r w:rsidR="00D506EE">
        <w:t>Service</w:t>
      </w:r>
      <w:r w:rsidR="0004423C">
        <w:tab/>
      </w:r>
      <w:r>
        <w:t>$30</w:t>
      </w:r>
      <w:r w:rsidR="00325254">
        <w:t>.00</w:t>
      </w:r>
      <w:r>
        <w:t xml:space="preserve"> per hour</w:t>
      </w:r>
    </w:p>
    <w:p w14:paraId="38FB55D0" w14:textId="77777777" w:rsidR="00E50FA5" w:rsidRDefault="00905AB3" w:rsidP="00E50FA5">
      <w:pPr>
        <w:pStyle w:val="NoSpacing"/>
      </w:pPr>
      <w:r>
        <w:tab/>
      </w:r>
    </w:p>
    <w:p w14:paraId="366BA00D" w14:textId="641FF4B3" w:rsidR="000B2705" w:rsidRDefault="00E50FA5" w:rsidP="00E50FA5">
      <w:pPr>
        <w:pStyle w:val="NoSpacing"/>
        <w:ind w:left="720"/>
      </w:pPr>
      <w:r>
        <w:t xml:space="preserve">The rate to stay in BLENNZ residential facilities is $25.00 per night per person. </w:t>
      </w:r>
      <w:r w:rsidR="00905AB3">
        <w:t>Additional costs associated with cleaning, use of kitchen facilities etc will be negotiated at the time of hire.</w:t>
      </w:r>
    </w:p>
    <w:p w14:paraId="194F060F" w14:textId="77777777" w:rsidR="003247C9" w:rsidRDefault="003247C9" w:rsidP="00DC59D4">
      <w:r>
        <w:t xml:space="preserve">The cost of repair to any damaged facilities, </w:t>
      </w:r>
      <w:proofErr w:type="gramStart"/>
      <w:r>
        <w:t>equipment</w:t>
      </w:r>
      <w:proofErr w:type="gramEnd"/>
      <w:r>
        <w:t xml:space="preserve"> or consumables during the period of </w:t>
      </w:r>
      <w:proofErr w:type="spellStart"/>
      <w:r>
        <w:t>hireage</w:t>
      </w:r>
      <w:proofErr w:type="spellEnd"/>
      <w:r>
        <w:t xml:space="preserve"> will be charged to the hirers.</w:t>
      </w:r>
    </w:p>
    <w:p w14:paraId="1030F540" w14:textId="77777777" w:rsidR="00905AB3" w:rsidRDefault="00905AB3" w:rsidP="000B2705">
      <w:pPr>
        <w:ind w:left="720" w:hanging="720"/>
      </w:pPr>
      <w:proofErr w:type="spellStart"/>
      <w:r>
        <w:t>Hireage</w:t>
      </w:r>
      <w:proofErr w:type="spellEnd"/>
      <w:r>
        <w:t xml:space="preserve"> rates for other BLENNZ sites will be negotiated as and when required.</w:t>
      </w:r>
    </w:p>
    <w:p w14:paraId="2859FD5E" w14:textId="77777777" w:rsidR="000B2705" w:rsidRDefault="000B2705" w:rsidP="000B2705">
      <w:pPr>
        <w:pStyle w:val="Heading2"/>
      </w:pPr>
      <w:r>
        <w:t>Supporting Documents:</w:t>
      </w:r>
    </w:p>
    <w:p w14:paraId="4570391A" w14:textId="77777777" w:rsidR="00A55576" w:rsidRDefault="00A55576" w:rsidP="00A55576">
      <w:r>
        <w:t>BLENNZ Operational Policy: Health and Safety Visitors</w:t>
      </w:r>
    </w:p>
    <w:p w14:paraId="254E0802" w14:textId="77777777" w:rsidR="00502A24" w:rsidRDefault="00502A24" w:rsidP="00A55576">
      <w:r>
        <w:t>BLENNZ Health and Safety Site Statement</w:t>
      </w:r>
    </w:p>
    <w:p w14:paraId="0B52EB87" w14:textId="77777777" w:rsidR="00B368A7" w:rsidRPr="00A55576" w:rsidRDefault="00B368A7" w:rsidP="00A55576">
      <w:r>
        <w:t>BLENNZ Risk Assessment Register</w:t>
      </w:r>
    </w:p>
    <w:p w14:paraId="66F8D6E1" w14:textId="77777777" w:rsidR="00615CA0" w:rsidRDefault="00497BCD" w:rsidP="000B2705">
      <w:hyperlink r:id="rId10" w:history="1">
        <w:r w:rsidR="00275BBB" w:rsidRPr="00275BBB">
          <w:rPr>
            <w:rStyle w:val="Hyperlink"/>
          </w:rPr>
          <w:t>Ministry of Education website - Third Party Occupancy</w:t>
        </w:r>
      </w:hyperlink>
    </w:p>
    <w:p w14:paraId="2964617E" w14:textId="77777777" w:rsidR="00C03F5E" w:rsidRDefault="00497BCD" w:rsidP="000B2705">
      <w:pPr>
        <w:rPr>
          <w:rStyle w:val="Hyperlink"/>
        </w:rPr>
      </w:pPr>
      <w:hyperlink r:id="rId11" w:history="1">
        <w:proofErr w:type="spellStart"/>
        <w:r w:rsidR="00C03F5E">
          <w:rPr>
            <w:rStyle w:val="Hyperlink"/>
          </w:rPr>
          <w:t>Worksafe</w:t>
        </w:r>
        <w:proofErr w:type="spellEnd"/>
        <w:r w:rsidR="00C03F5E">
          <w:rPr>
            <w:rStyle w:val="Hyperlink"/>
          </w:rPr>
          <w:t xml:space="preserve"> NZ - Health and Safety Act 2015</w:t>
        </w:r>
      </w:hyperlink>
      <w:r w:rsidR="006E6D20">
        <w:rPr>
          <w:rStyle w:val="Hyperlink"/>
        </w:rPr>
        <w:t xml:space="preserve"> </w:t>
      </w:r>
    </w:p>
    <w:p w14:paraId="4FFBCDB1" w14:textId="3E483D9D" w:rsidR="00DC59D4" w:rsidRDefault="00DC59D4" w:rsidP="000B270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Approved:</w:t>
      </w:r>
      <w:r w:rsidR="00497BCD">
        <w:rPr>
          <w:rStyle w:val="Hyperlink"/>
          <w:color w:val="auto"/>
          <w:u w:val="none"/>
        </w:rPr>
        <w:tab/>
      </w:r>
      <w:r w:rsidR="00497BCD" w:rsidRPr="000D311F">
        <w:rPr>
          <w:noProof/>
          <w:lang w:eastAsia="en-NZ"/>
        </w:rPr>
        <w:drawing>
          <wp:inline distT="0" distB="0" distL="0" distR="0" wp14:anchorId="74708D05" wp14:editId="1CDEE29E">
            <wp:extent cx="1094740" cy="405765"/>
            <wp:effectExtent l="0" t="0" r="0" b="0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D2F2" w14:textId="4529F27E" w:rsidR="00DC59D4" w:rsidRDefault="00DC59D4" w:rsidP="000B270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Date:</w:t>
      </w:r>
      <w:r w:rsidR="00497BCD">
        <w:rPr>
          <w:rStyle w:val="Hyperlink"/>
          <w:color w:val="auto"/>
          <w:u w:val="none"/>
        </w:rPr>
        <w:tab/>
        <w:t>1 September 2023</w:t>
      </w:r>
    </w:p>
    <w:p w14:paraId="4D72E8C8" w14:textId="1A9B8C02" w:rsidR="00C03F5E" w:rsidRPr="00C03F5E" w:rsidRDefault="00DC59D4" w:rsidP="000B2705">
      <w:r>
        <w:rPr>
          <w:rStyle w:val="Hyperlink"/>
          <w:color w:val="auto"/>
          <w:u w:val="none"/>
        </w:rPr>
        <w:t>Next Review: 2026</w:t>
      </w:r>
      <w:r w:rsidR="006E6D20">
        <w:rPr>
          <w:rStyle w:val="Hyperlink"/>
          <w:color w:val="auto"/>
          <w:u w:val="none"/>
        </w:rPr>
        <w:tab/>
      </w:r>
    </w:p>
    <w:sectPr w:rsidR="00C03F5E" w:rsidRPr="00C03F5E" w:rsidSect="00502A24"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1164" w14:textId="77777777" w:rsidR="00EA318E" w:rsidRDefault="00EA318E" w:rsidP="00275BBB">
      <w:pPr>
        <w:spacing w:after="0" w:line="240" w:lineRule="auto"/>
      </w:pPr>
      <w:r>
        <w:separator/>
      </w:r>
    </w:p>
  </w:endnote>
  <w:endnote w:type="continuationSeparator" w:id="0">
    <w:p w14:paraId="09AD88E9" w14:textId="77777777" w:rsidR="00EA318E" w:rsidRDefault="00EA318E" w:rsidP="00275BBB">
      <w:pPr>
        <w:spacing w:after="0" w:line="240" w:lineRule="auto"/>
      </w:pPr>
      <w:r>
        <w:continuationSeparator/>
      </w:r>
    </w:p>
  </w:endnote>
  <w:endnote w:type="continuationNotice" w:id="1">
    <w:p w14:paraId="3C347C87" w14:textId="77777777" w:rsidR="00EA318E" w:rsidRDefault="00EA31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C4B1" w14:textId="4E876BFD" w:rsidR="00275BBB" w:rsidRDefault="00915B10">
    <w:pPr>
      <w:pStyle w:val="Footer"/>
      <w:rPr>
        <w:b/>
        <w:bCs/>
      </w:rPr>
    </w:pPr>
    <w:r>
      <w:t>OP4-11 20</w:t>
    </w:r>
    <w:r w:rsidR="0077247F">
      <w:t>2</w:t>
    </w:r>
    <w:r w:rsidR="00DC59D4">
      <w:t>3</w:t>
    </w:r>
    <w:r>
      <w:t xml:space="preserve"> </w:t>
    </w:r>
    <w:r w:rsidR="00275BBB">
      <w:t>Use of BLENNZ Facilities</w:t>
    </w:r>
    <w:r w:rsidR="00275BBB">
      <w:tab/>
    </w:r>
    <w:r w:rsidR="00275BBB">
      <w:tab/>
      <w:t xml:space="preserve">Page </w:t>
    </w:r>
    <w:r w:rsidR="00275BBB">
      <w:rPr>
        <w:b/>
        <w:bCs/>
      </w:rPr>
      <w:fldChar w:fldCharType="begin"/>
    </w:r>
    <w:r w:rsidR="00275BBB">
      <w:rPr>
        <w:b/>
        <w:bCs/>
      </w:rPr>
      <w:instrText xml:space="preserve"> PAGE  \* Arabic  \* MERGEFORMAT </w:instrText>
    </w:r>
    <w:r w:rsidR="00275BBB">
      <w:rPr>
        <w:b/>
        <w:bCs/>
      </w:rPr>
      <w:fldChar w:fldCharType="separate"/>
    </w:r>
    <w:r w:rsidR="00DE34D5">
      <w:rPr>
        <w:b/>
        <w:bCs/>
        <w:noProof/>
      </w:rPr>
      <w:t>1</w:t>
    </w:r>
    <w:r w:rsidR="00275BBB">
      <w:rPr>
        <w:b/>
        <w:bCs/>
      </w:rPr>
      <w:fldChar w:fldCharType="end"/>
    </w:r>
    <w:r w:rsidR="00275BBB">
      <w:t xml:space="preserve"> of </w:t>
    </w:r>
    <w:r w:rsidR="00275BBB">
      <w:rPr>
        <w:b/>
        <w:bCs/>
      </w:rPr>
      <w:fldChar w:fldCharType="begin"/>
    </w:r>
    <w:r w:rsidR="00275BBB">
      <w:rPr>
        <w:b/>
        <w:bCs/>
      </w:rPr>
      <w:instrText xml:space="preserve"> NUMPAGES  \* Arabic  \* MERGEFORMAT </w:instrText>
    </w:r>
    <w:r w:rsidR="00275BBB">
      <w:rPr>
        <w:b/>
        <w:bCs/>
      </w:rPr>
      <w:fldChar w:fldCharType="separate"/>
    </w:r>
    <w:r w:rsidR="00DE34D5">
      <w:rPr>
        <w:b/>
        <w:bCs/>
        <w:noProof/>
      </w:rPr>
      <w:t>3</w:t>
    </w:r>
    <w:r w:rsidR="00275BBB">
      <w:rPr>
        <w:b/>
        <w:bCs/>
      </w:rPr>
      <w:fldChar w:fldCharType="end"/>
    </w:r>
  </w:p>
  <w:p w14:paraId="72A3D3EC" w14:textId="0373A977" w:rsidR="00275BBB" w:rsidRDefault="00D506EE">
    <w:pPr>
      <w:pStyle w:val="Footer"/>
    </w:pPr>
    <w:r>
      <w:rPr>
        <w:bCs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1E6C" w14:textId="77777777" w:rsidR="00EA318E" w:rsidRDefault="00EA318E" w:rsidP="00275BBB">
      <w:pPr>
        <w:spacing w:after="0" w:line="240" w:lineRule="auto"/>
      </w:pPr>
      <w:r>
        <w:separator/>
      </w:r>
    </w:p>
  </w:footnote>
  <w:footnote w:type="continuationSeparator" w:id="0">
    <w:p w14:paraId="0AD97A88" w14:textId="77777777" w:rsidR="00EA318E" w:rsidRDefault="00EA318E" w:rsidP="00275BBB">
      <w:pPr>
        <w:spacing w:after="0" w:line="240" w:lineRule="auto"/>
      </w:pPr>
      <w:r>
        <w:continuationSeparator/>
      </w:r>
    </w:p>
  </w:footnote>
  <w:footnote w:type="continuationNotice" w:id="1">
    <w:p w14:paraId="7848A5EB" w14:textId="77777777" w:rsidR="00EA318E" w:rsidRDefault="00EA318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6DF1"/>
    <w:multiLevelType w:val="hybridMultilevel"/>
    <w:tmpl w:val="E9A024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9F1"/>
    <w:multiLevelType w:val="hybridMultilevel"/>
    <w:tmpl w:val="C35C4620"/>
    <w:lvl w:ilvl="0" w:tplc="1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3501294F"/>
    <w:multiLevelType w:val="hybridMultilevel"/>
    <w:tmpl w:val="CE24E5A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96C8B"/>
    <w:multiLevelType w:val="hybridMultilevel"/>
    <w:tmpl w:val="AD6A616C"/>
    <w:lvl w:ilvl="0" w:tplc="1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4E5F6001"/>
    <w:multiLevelType w:val="hybridMultilevel"/>
    <w:tmpl w:val="7E2E4A4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77589"/>
    <w:multiLevelType w:val="hybridMultilevel"/>
    <w:tmpl w:val="A46EC0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5315">
    <w:abstractNumId w:val="2"/>
  </w:num>
  <w:num w:numId="2" w16cid:durableId="1430926425">
    <w:abstractNumId w:val="4"/>
  </w:num>
  <w:num w:numId="3" w16cid:durableId="135294754">
    <w:abstractNumId w:val="3"/>
  </w:num>
  <w:num w:numId="4" w16cid:durableId="1559707936">
    <w:abstractNumId w:val="1"/>
  </w:num>
  <w:num w:numId="5" w16cid:durableId="1468619023">
    <w:abstractNumId w:val="0"/>
  </w:num>
  <w:num w:numId="6" w16cid:durableId="178179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72"/>
    <w:rsid w:val="00042F35"/>
    <w:rsid w:val="0004423C"/>
    <w:rsid w:val="000B2705"/>
    <w:rsid w:val="00117501"/>
    <w:rsid w:val="001414BB"/>
    <w:rsid w:val="00174AA0"/>
    <w:rsid w:val="001A1363"/>
    <w:rsid w:val="001D5333"/>
    <w:rsid w:val="001E2ED6"/>
    <w:rsid w:val="00275BBB"/>
    <w:rsid w:val="003247C9"/>
    <w:rsid w:val="00325254"/>
    <w:rsid w:val="00337FF9"/>
    <w:rsid w:val="0043278E"/>
    <w:rsid w:val="00495A44"/>
    <w:rsid w:val="00497BCD"/>
    <w:rsid w:val="004E41D9"/>
    <w:rsid w:val="00502A24"/>
    <w:rsid w:val="00575411"/>
    <w:rsid w:val="00592091"/>
    <w:rsid w:val="00615CA0"/>
    <w:rsid w:val="006C0F59"/>
    <w:rsid w:val="006E0B49"/>
    <w:rsid w:val="006E6D20"/>
    <w:rsid w:val="0077247F"/>
    <w:rsid w:val="007975BE"/>
    <w:rsid w:val="007E072D"/>
    <w:rsid w:val="007E5B71"/>
    <w:rsid w:val="007F7B33"/>
    <w:rsid w:val="00802DFE"/>
    <w:rsid w:val="00870804"/>
    <w:rsid w:val="00887096"/>
    <w:rsid w:val="00905AB3"/>
    <w:rsid w:val="00915B10"/>
    <w:rsid w:val="009E6B23"/>
    <w:rsid w:val="00A12E83"/>
    <w:rsid w:val="00A55576"/>
    <w:rsid w:val="00A81A70"/>
    <w:rsid w:val="00AA7BDC"/>
    <w:rsid w:val="00AB1744"/>
    <w:rsid w:val="00AF7D92"/>
    <w:rsid w:val="00B13993"/>
    <w:rsid w:val="00B368A7"/>
    <w:rsid w:val="00BB2031"/>
    <w:rsid w:val="00BF61C8"/>
    <w:rsid w:val="00C03F5E"/>
    <w:rsid w:val="00C605AA"/>
    <w:rsid w:val="00C63AD4"/>
    <w:rsid w:val="00C72CAF"/>
    <w:rsid w:val="00CE3999"/>
    <w:rsid w:val="00D04215"/>
    <w:rsid w:val="00D506EE"/>
    <w:rsid w:val="00D90C9B"/>
    <w:rsid w:val="00DC59D4"/>
    <w:rsid w:val="00DE34D5"/>
    <w:rsid w:val="00E070D6"/>
    <w:rsid w:val="00E50FA5"/>
    <w:rsid w:val="00EA318E"/>
    <w:rsid w:val="00EB2B28"/>
    <w:rsid w:val="00F26740"/>
    <w:rsid w:val="00F50072"/>
    <w:rsid w:val="00F75097"/>
    <w:rsid w:val="00F759D3"/>
    <w:rsid w:val="00FB2D84"/>
    <w:rsid w:val="04B9BA81"/>
    <w:rsid w:val="04F54E48"/>
    <w:rsid w:val="0D7AEEF9"/>
    <w:rsid w:val="0F6B3271"/>
    <w:rsid w:val="232F987A"/>
    <w:rsid w:val="4D9C684F"/>
    <w:rsid w:val="588EBCCE"/>
    <w:rsid w:val="73FB8B41"/>
    <w:rsid w:val="7A9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C1B8"/>
  <w15:chartTrackingRefBased/>
  <w15:docId w15:val="{6D21EAFF-662F-4913-8905-8D737BCF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93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3993"/>
    <w:pPr>
      <w:keepNext/>
      <w:keepLines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13993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93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399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275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75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B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75B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B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5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5576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4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siness.govt.nz/worksafe/hsw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govt.nz/school/property/state-schools/day-to-day-management/leasing-or-hiring-to-third-par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1D63B9-D17E-43E7-AAA2-69DA15AA3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8DC30-4F6B-4DC7-BB4B-B76959DD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57FD4-530B-4FC8-92A0-1660510CEF69}">
  <ds:schemaRefs>
    <ds:schemaRef ds:uri="http://www.w3.org/XML/1998/namespace"/>
    <ds:schemaRef ds:uri="806377ac-65e5-4de6-a576-ed9bbd38d598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a88ec04-25a7-4cd5-abd9-12b8e17c889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2023-06-14T03:29:00Z</cp:lastPrinted>
  <dcterms:created xsi:type="dcterms:W3CDTF">2023-11-30T20:22:00Z</dcterms:created>
  <dcterms:modified xsi:type="dcterms:W3CDTF">2023-11-30T20:22:00Z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