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D72DA" w14:textId="51F458E5" w:rsidR="00DE0E56" w:rsidRDefault="00FD43A8" w:rsidP="007C0F8E">
      <w:pPr>
        <w:pStyle w:val="Heading1"/>
      </w:pPr>
      <w:r>
        <w:t xml:space="preserve">Operational Policy: </w:t>
      </w:r>
      <w:r w:rsidR="00DE0E56">
        <w:t xml:space="preserve">Work Experience Policy for </w:t>
      </w:r>
      <w:r w:rsidR="00C3721C">
        <w:rPr>
          <w:lang w:val="mi-NZ"/>
        </w:rPr>
        <w:t xml:space="preserve">Ākonga who are </w:t>
      </w:r>
      <w:r w:rsidR="00DE0E56">
        <w:t>Blind</w:t>
      </w:r>
      <w:r w:rsidR="00B02574">
        <w:t>, Deafblind</w:t>
      </w:r>
      <w:r w:rsidR="00DE0E56">
        <w:t xml:space="preserve"> </w:t>
      </w:r>
      <w:r>
        <w:t>&amp;</w:t>
      </w:r>
      <w:r w:rsidR="00DE0E56">
        <w:t xml:space="preserve"> Low Vision </w:t>
      </w:r>
      <w:r w:rsidR="00EE2F2D">
        <w:t>(NAG 1)</w:t>
      </w:r>
    </w:p>
    <w:p w14:paraId="2B8B6F95" w14:textId="57F5D546" w:rsidR="002543D1" w:rsidRPr="002543D1" w:rsidRDefault="002543D1" w:rsidP="002543D1">
      <w:pPr>
        <w:pStyle w:val="Heading2"/>
      </w:pPr>
      <w:r>
        <w:t>Blind and Low Vision Education Network NZ</w:t>
      </w:r>
    </w:p>
    <w:p w14:paraId="2710D7BD" w14:textId="6CD84C1A" w:rsidR="00DE0E56" w:rsidRDefault="00DE0E56" w:rsidP="00DE0E56">
      <w:pPr>
        <w:pStyle w:val="Heading2"/>
      </w:pPr>
      <w:r>
        <w:t>Statement</w:t>
      </w:r>
      <w:r w:rsidR="00C377AE">
        <w:t xml:space="preserve"> of Intent</w:t>
      </w:r>
      <w:r>
        <w:t>:</w:t>
      </w:r>
    </w:p>
    <w:p w14:paraId="18B79416" w14:textId="32500A58" w:rsidR="00DE0E56" w:rsidRDefault="00DE0E56" w:rsidP="00DE0E56">
      <w:r>
        <w:t xml:space="preserve">BLENNZ is committed to providing </w:t>
      </w:r>
      <w:proofErr w:type="spellStart"/>
      <w:r w:rsidR="009D1D5D">
        <w:t>ākonga</w:t>
      </w:r>
      <w:proofErr w:type="spellEnd"/>
      <w:r w:rsidR="009D1D5D">
        <w:t xml:space="preserve"> who are </w:t>
      </w:r>
      <w:r w:rsidR="00C377AE">
        <w:t>B</w:t>
      </w:r>
      <w:r>
        <w:t>lind</w:t>
      </w:r>
      <w:r w:rsidR="007C0F8E">
        <w:t xml:space="preserve">, </w:t>
      </w:r>
      <w:r w:rsidR="00C377AE">
        <w:t>D</w:t>
      </w:r>
      <w:r w:rsidR="007C0F8E">
        <w:t>eafblind</w:t>
      </w:r>
      <w:r>
        <w:t xml:space="preserve"> and </w:t>
      </w:r>
      <w:r w:rsidR="00C377AE">
        <w:t>L</w:t>
      </w:r>
      <w:r>
        <w:t xml:space="preserve">ow </w:t>
      </w:r>
      <w:r w:rsidR="00C377AE">
        <w:t>V</w:t>
      </w:r>
      <w:r>
        <w:t xml:space="preserve">ision </w:t>
      </w:r>
      <w:r w:rsidR="00A8052F">
        <w:t>who attend the Homai Campus School and Transition programmes</w:t>
      </w:r>
      <w:r w:rsidR="00EE2F2D">
        <w:t xml:space="preserve"> </w:t>
      </w:r>
      <w:r>
        <w:t xml:space="preserve">with </w:t>
      </w:r>
      <w:r w:rsidR="009D1D5D">
        <w:t xml:space="preserve">equitable </w:t>
      </w:r>
      <w:r>
        <w:t xml:space="preserve">opportunities for work experience to enhance their career development and foster their independence. This policy aims to ensure that </w:t>
      </w:r>
      <w:proofErr w:type="spellStart"/>
      <w:r>
        <w:t>ākonga</w:t>
      </w:r>
      <w:proofErr w:type="spellEnd"/>
      <w:r>
        <w:t xml:space="preserve"> have access to meaningful work experience placements that accommodate their specific needs, promote inclusivity, and support their professional growth.</w:t>
      </w:r>
    </w:p>
    <w:p w14:paraId="1ECF1004" w14:textId="3518EFE2" w:rsidR="00DE0E56" w:rsidRDefault="00DE0E56" w:rsidP="00DE0E56">
      <w:pPr>
        <w:pStyle w:val="Heading3"/>
      </w:pPr>
      <w:r>
        <w:t>Objective:</w:t>
      </w:r>
    </w:p>
    <w:p w14:paraId="327A52EB" w14:textId="41FAEB3F" w:rsidR="00DE0E56" w:rsidRPr="00F408E9" w:rsidRDefault="00DE0E56" w:rsidP="00DE0E56">
      <w:pPr>
        <w:rPr>
          <w:lang w:val="mi-NZ"/>
        </w:rPr>
      </w:pPr>
      <w:r>
        <w:t xml:space="preserve">The objective of this policy is to establish guidelines for the provision of work experience opportunities for </w:t>
      </w:r>
      <w:proofErr w:type="spellStart"/>
      <w:r>
        <w:t>ākonga</w:t>
      </w:r>
      <w:proofErr w:type="spellEnd"/>
      <w:r>
        <w:t xml:space="preserve"> at BLENNZ. This policy aims to ensure that </w:t>
      </w:r>
      <w:proofErr w:type="spellStart"/>
      <w:r>
        <w:t>ākonga</w:t>
      </w:r>
      <w:proofErr w:type="spellEnd"/>
      <w:r>
        <w:t xml:space="preserve"> have </w:t>
      </w:r>
      <w:r w:rsidR="009D1D5D">
        <w:t>equitable</w:t>
      </w:r>
      <w:r>
        <w:t xml:space="preserve"> opportunities to engage in meaningful workplace experiences. Develop employability skills, and explore career pathways</w:t>
      </w:r>
      <w:r w:rsidR="00F408E9">
        <w:t xml:space="preserve"> and must be linked to the educational programme of the </w:t>
      </w:r>
      <w:r w:rsidR="00F408E9">
        <w:rPr>
          <w:lang w:val="mi-NZ"/>
        </w:rPr>
        <w:t>ākonga.</w:t>
      </w:r>
    </w:p>
    <w:p w14:paraId="262B82BA" w14:textId="7F410653" w:rsidR="00DE0E56" w:rsidRDefault="00DE0E56" w:rsidP="00DE0E56">
      <w:r>
        <w:t xml:space="preserve">This policy applies to all </w:t>
      </w:r>
      <w:proofErr w:type="spellStart"/>
      <w:r w:rsidR="009D1D5D">
        <w:t>ākonga</w:t>
      </w:r>
      <w:proofErr w:type="spellEnd"/>
      <w:r w:rsidR="009D1D5D">
        <w:t xml:space="preserve"> who are </w:t>
      </w:r>
      <w:r w:rsidR="00C377AE">
        <w:t>Blind, Deafblind and Low Vision</w:t>
      </w:r>
      <w:r>
        <w:t xml:space="preserve"> enrolled in BLENNZ programs who are eligible and interested in participating in work experience placements.</w:t>
      </w:r>
    </w:p>
    <w:p w14:paraId="1425AC86" w14:textId="25E17E48" w:rsidR="002802E2" w:rsidRDefault="002802E2" w:rsidP="00DE0E56">
      <w:r>
        <w:t xml:space="preserve">Work experience can be paid or be voluntary and unpaid.  It should be for no more than </w:t>
      </w:r>
      <w:r w:rsidR="00F408E9">
        <w:t>15</w:t>
      </w:r>
      <w:r>
        <w:t xml:space="preserve"> hours per week.</w:t>
      </w:r>
      <w:r w:rsidR="00F408E9">
        <w:t xml:space="preserve">  No more than five of these hours are permitted to be within normal school hours, i.e. one school day.</w:t>
      </w:r>
    </w:p>
    <w:p w14:paraId="6089B983" w14:textId="77777777" w:rsidR="00DE0E56" w:rsidRDefault="00DE0E56" w:rsidP="00DE0E56">
      <w:pPr>
        <w:pStyle w:val="Heading3"/>
      </w:pPr>
      <w:r>
        <w:t>Accessible Work Experience Placements:</w:t>
      </w:r>
    </w:p>
    <w:p w14:paraId="1E9ECD21" w14:textId="4421FF94" w:rsidR="00DE0E56" w:rsidRDefault="00C377AE" w:rsidP="00DE0E56">
      <w:r>
        <w:t>1</w:t>
      </w:r>
      <w:r w:rsidR="00DE0E56">
        <w:t>.1 Identification and Assessment:</w:t>
      </w:r>
    </w:p>
    <w:p w14:paraId="4D302C1A" w14:textId="7FD5B605" w:rsidR="00DE0E56" w:rsidRDefault="00DE0E56" w:rsidP="007C0F8E">
      <w:pPr>
        <w:pStyle w:val="ListParagraph"/>
        <w:numPr>
          <w:ilvl w:val="0"/>
          <w:numId w:val="20"/>
        </w:numPr>
      </w:pPr>
      <w:r>
        <w:t xml:space="preserve">BLENNZ will collaborate with the </w:t>
      </w:r>
      <w:proofErr w:type="spellStart"/>
      <w:r>
        <w:t>ākonga</w:t>
      </w:r>
      <w:proofErr w:type="spellEnd"/>
      <w:r>
        <w:t xml:space="preserve">, their </w:t>
      </w:r>
      <w:r w:rsidR="007C0F8E">
        <w:t>whānau</w:t>
      </w:r>
      <w:r>
        <w:t xml:space="preserve">, and relevant staff members to identify suitable work experience placements that align with the interests and goals of </w:t>
      </w:r>
      <w:proofErr w:type="spellStart"/>
      <w:r>
        <w:t>ākonga</w:t>
      </w:r>
      <w:proofErr w:type="spellEnd"/>
      <w:r>
        <w:t xml:space="preserve"> </w:t>
      </w:r>
    </w:p>
    <w:p w14:paraId="09B31DFA" w14:textId="26D4E98A" w:rsidR="00B02574" w:rsidRDefault="00B02574" w:rsidP="00B02574">
      <w:pPr>
        <w:pStyle w:val="ListParagraph"/>
        <w:numPr>
          <w:ilvl w:val="1"/>
          <w:numId w:val="20"/>
        </w:numPr>
      </w:pPr>
      <w:r>
        <w:t xml:space="preserve">A Work Experience Agreement will be created and signed by the employer, BLENNZ and the </w:t>
      </w:r>
      <w:proofErr w:type="spellStart"/>
      <w:r>
        <w:t>ākonga</w:t>
      </w:r>
      <w:proofErr w:type="spellEnd"/>
      <w:r>
        <w:t>.</w:t>
      </w:r>
    </w:p>
    <w:p w14:paraId="4C18B55D" w14:textId="7C9CAAF0" w:rsidR="00DE0E56" w:rsidRDefault="00DE0E56" w:rsidP="007C0F8E">
      <w:pPr>
        <w:pStyle w:val="ListParagraph"/>
        <w:numPr>
          <w:ilvl w:val="0"/>
          <w:numId w:val="20"/>
        </w:numPr>
      </w:pPr>
      <w:r>
        <w:t xml:space="preserve">A thorough assessment will be conducted to ensure that the work experience placement can accommodate the specific needs of the </w:t>
      </w:r>
      <w:proofErr w:type="spellStart"/>
      <w:r>
        <w:t>ākonga</w:t>
      </w:r>
      <w:proofErr w:type="spellEnd"/>
      <w:r>
        <w:t>, including accessibility requirements and necessary support.</w:t>
      </w:r>
    </w:p>
    <w:p w14:paraId="249BCA92" w14:textId="0888731C" w:rsidR="00DE0E56" w:rsidRDefault="00DE0E56" w:rsidP="007C0F8E">
      <w:pPr>
        <w:pStyle w:val="ListParagraph"/>
        <w:numPr>
          <w:ilvl w:val="0"/>
          <w:numId w:val="20"/>
        </w:numPr>
      </w:pPr>
      <w:r>
        <w:lastRenderedPageBreak/>
        <w:t xml:space="preserve">Provide necessary accommodations and support services to ensure </w:t>
      </w:r>
      <w:r w:rsidR="009D1D5D">
        <w:t xml:space="preserve">equitable </w:t>
      </w:r>
      <w:r>
        <w:t xml:space="preserve">access and participation </w:t>
      </w:r>
      <w:r w:rsidR="009D1D5D">
        <w:t xml:space="preserve">for </w:t>
      </w:r>
      <w:proofErr w:type="spellStart"/>
      <w:r w:rsidR="009D1D5D">
        <w:t>ākonga</w:t>
      </w:r>
      <w:proofErr w:type="spellEnd"/>
      <w:r w:rsidR="009D1D5D">
        <w:t xml:space="preserve">. </w:t>
      </w:r>
    </w:p>
    <w:p w14:paraId="7BFCECF3" w14:textId="75B4BA5B" w:rsidR="00DE0E56" w:rsidRDefault="00DE0E56" w:rsidP="007C0F8E">
      <w:pPr>
        <w:pStyle w:val="ListParagraph"/>
        <w:numPr>
          <w:ilvl w:val="0"/>
          <w:numId w:val="20"/>
        </w:numPr>
      </w:pPr>
      <w:r>
        <w:t xml:space="preserve">Monitor and evaluate the quality and effectiveness of work experience placements for </w:t>
      </w:r>
      <w:proofErr w:type="spellStart"/>
      <w:r>
        <w:t>ākonga</w:t>
      </w:r>
      <w:proofErr w:type="spellEnd"/>
      <w:r>
        <w:t>.</w:t>
      </w:r>
    </w:p>
    <w:p w14:paraId="7840D0D3" w14:textId="00802925" w:rsidR="00DE0E56" w:rsidRDefault="00C377AE" w:rsidP="00DE0E56">
      <w:r>
        <w:t>1</w:t>
      </w:r>
      <w:r w:rsidR="00DE0E56">
        <w:t>.2 Inclusive Environment:</w:t>
      </w:r>
    </w:p>
    <w:p w14:paraId="69982C28" w14:textId="1A75F69C" w:rsidR="00DE0E56" w:rsidRDefault="00DE0E56" w:rsidP="007C0F8E">
      <w:pPr>
        <w:pStyle w:val="ListParagraph"/>
        <w:numPr>
          <w:ilvl w:val="0"/>
          <w:numId w:val="18"/>
        </w:numPr>
      </w:pPr>
      <w:r>
        <w:t>Employers hosting work experience placements are expected to provide an inclusive environment that respects and supports the</w:t>
      </w:r>
      <w:r w:rsidR="007C0F8E">
        <w:t xml:space="preserve"> needs of </w:t>
      </w:r>
      <w:proofErr w:type="spellStart"/>
      <w:r w:rsidR="009D1D5D">
        <w:t>ākonga</w:t>
      </w:r>
      <w:proofErr w:type="spellEnd"/>
      <w:r w:rsidR="009D1D5D">
        <w:t xml:space="preserve"> who are</w:t>
      </w:r>
      <w:r>
        <w:t xml:space="preserve"> </w:t>
      </w:r>
      <w:r w:rsidR="000A0CD3">
        <w:t>Blind, Deafblind and Low Vision</w:t>
      </w:r>
      <w:r>
        <w:t>.</w:t>
      </w:r>
    </w:p>
    <w:p w14:paraId="0DE2DDF7" w14:textId="390017AC" w:rsidR="00DE0E56" w:rsidRDefault="00DE0E56" w:rsidP="007C0F8E">
      <w:pPr>
        <w:pStyle w:val="ListParagraph"/>
        <w:numPr>
          <w:ilvl w:val="0"/>
          <w:numId w:val="18"/>
        </w:numPr>
      </w:pPr>
      <w:r>
        <w:t>Employers will be encouraged to make reasonable accommodations to ensure accessibility, such as providing assistive technology, adjusting lighting, modifying workstations, or providing accessible materials.</w:t>
      </w:r>
    </w:p>
    <w:p w14:paraId="24CD6078" w14:textId="77777777" w:rsidR="00DE0E56" w:rsidRDefault="00DE0E56" w:rsidP="00DE0E56">
      <w:pPr>
        <w:pStyle w:val="Heading3"/>
      </w:pPr>
      <w:r>
        <w:t>Roles and Responsibilities:</w:t>
      </w:r>
    </w:p>
    <w:p w14:paraId="75FAB368" w14:textId="3D4EDE0C" w:rsidR="00DE0E56" w:rsidRPr="00B02574" w:rsidRDefault="00C377AE" w:rsidP="00C377AE">
      <w:r>
        <w:t>2</w:t>
      </w:r>
      <w:r w:rsidR="00DE0E56" w:rsidRPr="00B02574">
        <w:t>.1 BLENNZ:</w:t>
      </w:r>
    </w:p>
    <w:p w14:paraId="2DC1987D" w14:textId="1C517C35" w:rsidR="00DE0E56" w:rsidRDefault="00DE0E56" w:rsidP="007C0F8E">
      <w:pPr>
        <w:pStyle w:val="ListParagraph"/>
        <w:numPr>
          <w:ilvl w:val="0"/>
          <w:numId w:val="16"/>
        </w:numPr>
      </w:pPr>
      <w:r>
        <w:t xml:space="preserve">BLENNZ will collaborate with </w:t>
      </w:r>
      <w:proofErr w:type="spellStart"/>
      <w:r w:rsidR="009D1D5D">
        <w:t>ākonga</w:t>
      </w:r>
      <w:proofErr w:type="spellEnd"/>
      <w:r w:rsidR="009D1D5D">
        <w:t xml:space="preserve">, </w:t>
      </w:r>
      <w:r>
        <w:t xml:space="preserve">their </w:t>
      </w:r>
      <w:r w:rsidR="007C0F8E">
        <w:t>whānau</w:t>
      </w:r>
      <w:r>
        <w:t>, and employers to identify suitable work experience opportunities.</w:t>
      </w:r>
    </w:p>
    <w:p w14:paraId="7703C90D" w14:textId="2009EF49" w:rsidR="00DE0E56" w:rsidRDefault="00DE0E56" w:rsidP="007C0F8E">
      <w:pPr>
        <w:pStyle w:val="ListParagraph"/>
        <w:numPr>
          <w:ilvl w:val="0"/>
          <w:numId w:val="16"/>
        </w:numPr>
      </w:pPr>
      <w:r>
        <w:t xml:space="preserve">BLENNZ will provide ongoing support and guidance to </w:t>
      </w:r>
      <w:proofErr w:type="spellStart"/>
      <w:r>
        <w:t>ākonga</w:t>
      </w:r>
      <w:proofErr w:type="spellEnd"/>
      <w:r>
        <w:t xml:space="preserve"> throughout the work experience placement, including orientation and mobility training, assistive technology training, and any necessary accommodations.</w:t>
      </w:r>
    </w:p>
    <w:p w14:paraId="6744E929" w14:textId="2EF25098" w:rsidR="00DE0E56" w:rsidRDefault="00DE0E56" w:rsidP="007C0F8E">
      <w:pPr>
        <w:pStyle w:val="ListParagraph"/>
        <w:numPr>
          <w:ilvl w:val="0"/>
          <w:numId w:val="16"/>
        </w:numPr>
      </w:pPr>
      <w:r>
        <w:t xml:space="preserve">BLENNZ will maintain regular communication with the employer to ensure the progress of </w:t>
      </w:r>
      <w:proofErr w:type="spellStart"/>
      <w:r>
        <w:t>ākonga</w:t>
      </w:r>
      <w:proofErr w:type="spellEnd"/>
      <w:r>
        <w:t xml:space="preserve"> and address any concerns or challenges that may arise.</w:t>
      </w:r>
    </w:p>
    <w:p w14:paraId="61998EA9" w14:textId="68B000B6" w:rsidR="002802E2" w:rsidRDefault="002802E2" w:rsidP="002802E2">
      <w:pPr>
        <w:pStyle w:val="ListParagraph"/>
        <w:numPr>
          <w:ilvl w:val="0"/>
          <w:numId w:val="16"/>
        </w:numPr>
      </w:pPr>
      <w:r w:rsidRPr="002802E2">
        <w:t>No financial cost</w:t>
      </w:r>
      <w:r w:rsidR="00F408E9">
        <w:t>s</w:t>
      </w:r>
      <w:r w:rsidRPr="002802E2">
        <w:t xml:space="preserve"> related to work experience are to be imposed on </w:t>
      </w:r>
      <w:proofErr w:type="spellStart"/>
      <w:r w:rsidRPr="002802E2">
        <w:t>ākonga</w:t>
      </w:r>
      <w:proofErr w:type="spellEnd"/>
      <w:r w:rsidR="006B4D2C">
        <w:t xml:space="preserve"> undertaking voluntary work experience.</w:t>
      </w:r>
    </w:p>
    <w:p w14:paraId="14AE723D" w14:textId="1C10A45D" w:rsidR="00DE0E56" w:rsidRDefault="00C377AE" w:rsidP="00C377AE">
      <w:r>
        <w:t>2</w:t>
      </w:r>
      <w:r w:rsidR="00DE0E56">
        <w:t>.2 Employers:</w:t>
      </w:r>
    </w:p>
    <w:p w14:paraId="7C36777D" w14:textId="5DE456CF" w:rsidR="007C0F8E" w:rsidRDefault="00DE0E56" w:rsidP="007C0F8E">
      <w:pPr>
        <w:pStyle w:val="ListParagraph"/>
        <w:numPr>
          <w:ilvl w:val="0"/>
          <w:numId w:val="13"/>
        </w:numPr>
      </w:pPr>
      <w:r>
        <w:t xml:space="preserve">Employers hosting work experience placements will ensure an inclusive and accessible environment for </w:t>
      </w:r>
      <w:proofErr w:type="spellStart"/>
      <w:r w:rsidR="009D1D5D">
        <w:t>ākonga</w:t>
      </w:r>
      <w:proofErr w:type="spellEnd"/>
      <w:r w:rsidR="009D1D5D">
        <w:t xml:space="preserve"> who are </w:t>
      </w:r>
      <w:r w:rsidR="000A0CD3">
        <w:t>Blind, Deafblind and Low Vision</w:t>
      </w:r>
      <w:r>
        <w:t>.</w:t>
      </w:r>
    </w:p>
    <w:p w14:paraId="4855F6E6" w14:textId="0E58FA52" w:rsidR="00DE0E56" w:rsidRDefault="00DE0E56" w:rsidP="007C0F8E">
      <w:pPr>
        <w:pStyle w:val="ListParagraph"/>
        <w:numPr>
          <w:ilvl w:val="0"/>
          <w:numId w:val="13"/>
        </w:numPr>
      </w:pPr>
      <w:r>
        <w:t>Employers will provide appropriate orientation and training to familiari</w:t>
      </w:r>
      <w:r w:rsidR="007C0F8E">
        <w:t>s</w:t>
      </w:r>
      <w:r>
        <w:t xml:space="preserve">e the </w:t>
      </w:r>
      <w:proofErr w:type="spellStart"/>
      <w:r>
        <w:t>ākonga</w:t>
      </w:r>
      <w:proofErr w:type="spellEnd"/>
      <w:r>
        <w:t xml:space="preserve"> with the workplace and its procedures.</w:t>
      </w:r>
    </w:p>
    <w:p w14:paraId="24EDB996" w14:textId="64F8DAA7" w:rsidR="00DE0E56" w:rsidRDefault="00DE0E56" w:rsidP="007C0F8E">
      <w:pPr>
        <w:pStyle w:val="ListParagraph"/>
        <w:numPr>
          <w:ilvl w:val="0"/>
          <w:numId w:val="13"/>
        </w:numPr>
      </w:pPr>
      <w:r>
        <w:t>Employers will collaborate with BLENNZ to identify and implement necessary accommodations and assistive technology to support the participation</w:t>
      </w:r>
      <w:r w:rsidR="007C0F8E">
        <w:t xml:space="preserve"> of </w:t>
      </w:r>
      <w:proofErr w:type="spellStart"/>
      <w:r w:rsidR="007C0F8E">
        <w:t>ākonga</w:t>
      </w:r>
      <w:proofErr w:type="spellEnd"/>
      <w:r>
        <w:t>.</w:t>
      </w:r>
    </w:p>
    <w:p w14:paraId="4EF575C6" w14:textId="0CBAAB82" w:rsidR="00DE0E56" w:rsidRDefault="00DE0E56" w:rsidP="007C0F8E">
      <w:pPr>
        <w:pStyle w:val="ListParagraph"/>
        <w:numPr>
          <w:ilvl w:val="0"/>
          <w:numId w:val="13"/>
        </w:numPr>
      </w:pPr>
      <w:r>
        <w:t>Employers will communicate openly with BLENNZ regarding the progress, challenges, and any additional support required</w:t>
      </w:r>
      <w:r w:rsidR="007C0F8E">
        <w:t xml:space="preserve"> by the </w:t>
      </w:r>
      <w:proofErr w:type="spellStart"/>
      <w:r w:rsidR="007C0F8E">
        <w:t>ākonga</w:t>
      </w:r>
      <w:proofErr w:type="spellEnd"/>
      <w:r w:rsidR="007C0F8E">
        <w:t>.</w:t>
      </w:r>
    </w:p>
    <w:p w14:paraId="4CA22C26" w14:textId="5E5C3AFD" w:rsidR="00DE0E56" w:rsidRDefault="00C377AE" w:rsidP="00C377AE">
      <w:r>
        <w:t>2.3</w:t>
      </w:r>
      <w:r w:rsidR="00B02574">
        <w:t xml:space="preserve"> </w:t>
      </w:r>
      <w:proofErr w:type="spellStart"/>
      <w:r w:rsidR="00DE0E56">
        <w:t>Ākonga</w:t>
      </w:r>
      <w:proofErr w:type="spellEnd"/>
      <w:r w:rsidR="00DE0E56">
        <w:t>:</w:t>
      </w:r>
    </w:p>
    <w:p w14:paraId="0DBBB7AC" w14:textId="15BBD115" w:rsidR="00B02574" w:rsidRDefault="009D1D5D" w:rsidP="00B02574">
      <w:pPr>
        <w:pStyle w:val="ListParagraph"/>
        <w:numPr>
          <w:ilvl w:val="0"/>
          <w:numId w:val="14"/>
        </w:numPr>
      </w:pPr>
      <w:proofErr w:type="spellStart"/>
      <w:r>
        <w:t>Ākonga</w:t>
      </w:r>
      <w:proofErr w:type="spellEnd"/>
      <w:r>
        <w:t xml:space="preserve"> who are </w:t>
      </w:r>
      <w:r w:rsidR="000A0CD3">
        <w:t xml:space="preserve">Blind, Deafblind and Low Vision </w:t>
      </w:r>
      <w:r w:rsidR="00DE0E56">
        <w:t>will actively participate in identifying their interests, goals, and preferred work experience placements.</w:t>
      </w:r>
      <w:r w:rsidR="00B02574">
        <w:t xml:space="preserve">  All </w:t>
      </w:r>
      <w:proofErr w:type="spellStart"/>
      <w:r w:rsidR="00B02574">
        <w:t>ākonga</w:t>
      </w:r>
      <w:proofErr w:type="spellEnd"/>
      <w:r w:rsidR="00B02574">
        <w:t>, as workers, are obliged to:</w:t>
      </w:r>
    </w:p>
    <w:p w14:paraId="7581F508" w14:textId="2C027A31" w:rsidR="00B02574" w:rsidRDefault="00B02574" w:rsidP="00B02574">
      <w:pPr>
        <w:pStyle w:val="ListParagraph"/>
        <w:numPr>
          <w:ilvl w:val="1"/>
          <w:numId w:val="14"/>
        </w:numPr>
      </w:pPr>
      <w:r>
        <w:t>take reasonable care of their own health and safety;</w:t>
      </w:r>
    </w:p>
    <w:p w14:paraId="0A87E9FE" w14:textId="064FB52A" w:rsidR="00B02574" w:rsidRDefault="00B02574" w:rsidP="00B02574">
      <w:pPr>
        <w:pStyle w:val="ListParagraph"/>
        <w:numPr>
          <w:ilvl w:val="1"/>
          <w:numId w:val="14"/>
        </w:numPr>
      </w:pPr>
      <w:r>
        <w:lastRenderedPageBreak/>
        <w:t>take reasonable care that what they do or don’t do doesn’t adversely affect the health and safety of others;</w:t>
      </w:r>
    </w:p>
    <w:p w14:paraId="5776F7DB" w14:textId="4B074A34" w:rsidR="00B02574" w:rsidRDefault="00B02574" w:rsidP="00B02574">
      <w:pPr>
        <w:pStyle w:val="ListParagraph"/>
        <w:numPr>
          <w:ilvl w:val="1"/>
          <w:numId w:val="14"/>
        </w:numPr>
      </w:pPr>
      <w:r>
        <w:t>cooperate with any reasonable policies or procedures the business or undertaking has in place on how to work in a safe and healthy way; and</w:t>
      </w:r>
    </w:p>
    <w:p w14:paraId="739D2982" w14:textId="6CEF29CC" w:rsidR="00B02574" w:rsidRDefault="00B02574" w:rsidP="0003060C">
      <w:pPr>
        <w:pStyle w:val="ListParagraph"/>
        <w:numPr>
          <w:ilvl w:val="1"/>
          <w:numId w:val="14"/>
        </w:numPr>
      </w:pPr>
      <w:r>
        <w:t>comply with any reasonable instruction given by the PCBU so that they can comply with the HSWA and the regulations.</w:t>
      </w:r>
    </w:p>
    <w:p w14:paraId="6C2F0CC8" w14:textId="4A2C2A08" w:rsidR="00DE0E56" w:rsidRDefault="00DE0E56" w:rsidP="007C0F8E">
      <w:pPr>
        <w:pStyle w:val="ListParagraph"/>
        <w:numPr>
          <w:ilvl w:val="0"/>
          <w:numId w:val="14"/>
        </w:numPr>
      </w:pPr>
      <w:proofErr w:type="spellStart"/>
      <w:r>
        <w:t>Ākonga</w:t>
      </w:r>
      <w:proofErr w:type="spellEnd"/>
      <w:r>
        <w:t xml:space="preserve"> will communicate their needs, preferences, and any necessary accommodations to BLENNZ and their employers.</w:t>
      </w:r>
    </w:p>
    <w:p w14:paraId="640A4E1D" w14:textId="04D1A8BA" w:rsidR="00DE0E56" w:rsidRDefault="00DE0E56" w:rsidP="007C0F8E">
      <w:pPr>
        <w:pStyle w:val="ListParagraph"/>
        <w:numPr>
          <w:ilvl w:val="0"/>
          <w:numId w:val="14"/>
        </w:numPr>
      </w:pPr>
      <w:proofErr w:type="spellStart"/>
      <w:r>
        <w:t>Ākonga</w:t>
      </w:r>
      <w:proofErr w:type="spellEnd"/>
      <w:r>
        <w:t xml:space="preserve"> will adhere to the workplace policies, procedures, and expectations during their work experience placements.</w:t>
      </w:r>
    </w:p>
    <w:p w14:paraId="7F383501" w14:textId="3AB799E2" w:rsidR="007C0F8E" w:rsidRDefault="007C0F8E" w:rsidP="007C0F8E">
      <w:pPr>
        <w:pStyle w:val="ListParagraph"/>
        <w:numPr>
          <w:ilvl w:val="0"/>
          <w:numId w:val="14"/>
        </w:numPr>
      </w:pPr>
      <w:proofErr w:type="spellStart"/>
      <w:r>
        <w:t>Ākonga</w:t>
      </w:r>
      <w:proofErr w:type="spellEnd"/>
      <w:r>
        <w:t xml:space="preserve"> will attend scheduled work experience placements punctually and be reliable throughout the duration.</w:t>
      </w:r>
      <w:r w:rsidR="00B02574">
        <w:t xml:space="preserve">  Absenteeism will be followed up in the normal manner.</w:t>
      </w:r>
    </w:p>
    <w:p w14:paraId="10470189" w14:textId="60857163" w:rsidR="007C0F8E" w:rsidRDefault="007C0F8E" w:rsidP="007C0F8E">
      <w:pPr>
        <w:pStyle w:val="ListParagraph"/>
        <w:numPr>
          <w:ilvl w:val="0"/>
          <w:numId w:val="14"/>
        </w:numPr>
      </w:pPr>
      <w:proofErr w:type="spellStart"/>
      <w:r>
        <w:t>Ākonga</w:t>
      </w:r>
      <w:proofErr w:type="spellEnd"/>
      <w:r>
        <w:t xml:space="preserve"> will seek guidance from the school if any issues or concerns arise during the placement.</w:t>
      </w:r>
    </w:p>
    <w:p w14:paraId="59FD3F51" w14:textId="77777777" w:rsidR="00DE0E56" w:rsidRDefault="00DE0E56" w:rsidP="00DE0E56">
      <w:pPr>
        <w:pStyle w:val="Heading3"/>
      </w:pPr>
      <w:r>
        <w:t>Monitoring and Evaluation:</w:t>
      </w:r>
    </w:p>
    <w:p w14:paraId="6372FB89" w14:textId="17C31642" w:rsidR="00DE0E56" w:rsidRDefault="00DE0E56" w:rsidP="00DE0E56">
      <w:r>
        <w:t xml:space="preserve">BLENNZ will monitor and evaluate the effectiveness of the work experience program for </w:t>
      </w:r>
      <w:proofErr w:type="spellStart"/>
      <w:r>
        <w:t>ākonga</w:t>
      </w:r>
      <w:proofErr w:type="spellEnd"/>
      <w:r w:rsidR="009D1D5D">
        <w:t xml:space="preserve"> who are Blind, Deafblind and Low Vision</w:t>
      </w:r>
      <w:r>
        <w:t xml:space="preserve">. Feedback from </w:t>
      </w:r>
      <w:proofErr w:type="spellStart"/>
      <w:r>
        <w:t>ākonga</w:t>
      </w:r>
      <w:proofErr w:type="spellEnd"/>
      <w:r>
        <w:t xml:space="preserve">, </w:t>
      </w:r>
      <w:r w:rsidR="000A0CD3">
        <w:t>wh</w:t>
      </w:r>
      <w:r w:rsidR="009D1D5D">
        <w:t>ā</w:t>
      </w:r>
      <w:r w:rsidR="000A0CD3">
        <w:t>nau</w:t>
      </w:r>
      <w:r>
        <w:t>, and employers will be collected to continually improve the program's accessibility, inclusivity, and outcomes.</w:t>
      </w:r>
    </w:p>
    <w:p w14:paraId="4D28B34D" w14:textId="38A6F3C6" w:rsidR="00DE0E56" w:rsidRDefault="007C0F8E" w:rsidP="00DE0E56">
      <w:pPr>
        <w:pStyle w:val="Heading3"/>
      </w:pPr>
      <w:r>
        <w:t>Eligibility and Duration</w:t>
      </w:r>
    </w:p>
    <w:p w14:paraId="52CAF3C1" w14:textId="209E27C9" w:rsidR="007C0F8E" w:rsidRDefault="007C0F8E" w:rsidP="007C0F8E">
      <w:pPr>
        <w:pStyle w:val="ListParagraph"/>
        <w:numPr>
          <w:ilvl w:val="0"/>
          <w:numId w:val="12"/>
        </w:numPr>
      </w:pPr>
      <w:r>
        <w:t xml:space="preserve">Work experience placements are available to </w:t>
      </w:r>
      <w:proofErr w:type="spellStart"/>
      <w:r>
        <w:t>ākonga</w:t>
      </w:r>
      <w:proofErr w:type="spellEnd"/>
      <w:r>
        <w:t xml:space="preserve"> in the Transition programme at the BLENNZ Homai Campus in Manurewa.</w:t>
      </w:r>
    </w:p>
    <w:p w14:paraId="142404ED" w14:textId="6E691672" w:rsidR="00C377AE" w:rsidRDefault="00C377AE" w:rsidP="00C377AE">
      <w:pPr>
        <w:pStyle w:val="ListParagraph"/>
        <w:numPr>
          <w:ilvl w:val="0"/>
          <w:numId w:val="12"/>
        </w:numPr>
      </w:pPr>
      <w:r>
        <w:t xml:space="preserve">Work experience placements are available to </w:t>
      </w:r>
      <w:proofErr w:type="spellStart"/>
      <w:r>
        <w:t>ākonga</w:t>
      </w:r>
      <w:proofErr w:type="spellEnd"/>
      <w:r>
        <w:t xml:space="preserve"> in the James Cook Satellite classes of the BLENNZ Homai Campus in Manurewa.</w:t>
      </w:r>
    </w:p>
    <w:p w14:paraId="4CF105C0" w14:textId="3C61278E" w:rsidR="007C0F8E" w:rsidRPr="007C0F8E" w:rsidRDefault="007C0F8E" w:rsidP="007C0F8E">
      <w:pPr>
        <w:pStyle w:val="ListParagraph"/>
        <w:numPr>
          <w:ilvl w:val="0"/>
          <w:numId w:val="12"/>
        </w:numPr>
      </w:pPr>
      <w:r>
        <w:t xml:space="preserve">The duration of work experience may vary, but it is typically recommended for </w:t>
      </w:r>
      <w:r w:rsidR="00F408E9">
        <w:t>between 4-6</w:t>
      </w:r>
      <w:r w:rsidR="00C377AE">
        <w:t xml:space="preserve"> weeks.</w:t>
      </w:r>
    </w:p>
    <w:p w14:paraId="2D736678" w14:textId="77777777" w:rsidR="00DE0E56" w:rsidRDefault="00DE0E56" w:rsidP="00DE0E56">
      <w:pPr>
        <w:pStyle w:val="Heading3"/>
      </w:pPr>
      <w:r>
        <w:t>Confidentiality:</w:t>
      </w:r>
    </w:p>
    <w:p w14:paraId="3F2EC6BC" w14:textId="77777777" w:rsidR="00DE0E56" w:rsidRDefault="00DE0E56" w:rsidP="00DE0E56">
      <w:r>
        <w:t>All information shared during the work experience placement, including personal and medical details, will be treated with the utmost confidentiality and handled in accordance with privacy regulations.</w:t>
      </w:r>
    </w:p>
    <w:p w14:paraId="3FFB79A1" w14:textId="7DFAEC16" w:rsidR="00DE0E56" w:rsidRDefault="00DE0E56" w:rsidP="00DE0E56">
      <w:pPr>
        <w:pStyle w:val="Heading3"/>
      </w:pPr>
      <w:r>
        <w:t>Related Policies:</w:t>
      </w:r>
    </w:p>
    <w:p w14:paraId="6771E006" w14:textId="790350A9" w:rsidR="00716B42" w:rsidRDefault="00DE0E56" w:rsidP="00DE0E56">
      <w:r>
        <w:t>This policy should be read in conjunction with</w:t>
      </w:r>
      <w:r w:rsidR="00B02574">
        <w:t>:</w:t>
      </w:r>
    </w:p>
    <w:p w14:paraId="190C5A45" w14:textId="77777777" w:rsidR="002802E2" w:rsidRDefault="002802E2" w:rsidP="002802E2">
      <w:pPr>
        <w:pStyle w:val="ListParagraph"/>
        <w:numPr>
          <w:ilvl w:val="0"/>
          <w:numId w:val="23"/>
        </w:numPr>
      </w:pPr>
      <w:r>
        <w:t>Board of Trustees Policy: Child Protection (NAG 5)</w:t>
      </w:r>
    </w:p>
    <w:p w14:paraId="096DA6FE" w14:textId="77AF707A" w:rsidR="002802E2" w:rsidRPr="003746D0" w:rsidRDefault="002802E2" w:rsidP="002802E2">
      <w:pPr>
        <w:pStyle w:val="ListParagraph"/>
        <w:numPr>
          <w:ilvl w:val="0"/>
          <w:numId w:val="23"/>
        </w:numPr>
      </w:pPr>
      <w:r w:rsidRPr="002802E2">
        <w:rPr>
          <w:rFonts w:cs="Arial"/>
        </w:rPr>
        <w:t>Health, Safety and Wellbeing Policy (NAG 5)</w:t>
      </w:r>
    </w:p>
    <w:p w14:paraId="6C319870" w14:textId="7E7D36FF" w:rsidR="003746D0" w:rsidRDefault="003746D0" w:rsidP="003746D0">
      <w:pPr>
        <w:pStyle w:val="Heading2"/>
      </w:pPr>
      <w:r>
        <w:lastRenderedPageBreak/>
        <w:t>Supporting Documents:</w:t>
      </w:r>
    </w:p>
    <w:p w14:paraId="4ABE9C5A" w14:textId="47A31401" w:rsidR="00B02574" w:rsidRDefault="0009423B" w:rsidP="00DE0E56">
      <w:pPr>
        <w:rPr>
          <w:rStyle w:val="Hyperlink"/>
        </w:rPr>
      </w:pPr>
      <w:hyperlink r:id="rId10" w:history="1">
        <w:r w:rsidR="007E1CF4">
          <w:rPr>
            <w:rStyle w:val="Hyperlink"/>
          </w:rPr>
          <w:t>Ministry of Education: Students on Work Experience</w:t>
        </w:r>
      </w:hyperlink>
    </w:p>
    <w:p w14:paraId="6C0C41AE" w14:textId="4070D927" w:rsidR="00C377AE" w:rsidRDefault="0009423B" w:rsidP="00DE0E56">
      <w:hyperlink r:id="rId11" w:anchor="cID_8018" w:history="1">
        <w:r w:rsidR="007E1CF4">
          <w:rPr>
            <w:rStyle w:val="Hyperlink"/>
          </w:rPr>
          <w:t>NZ Government Website: Careers</w:t>
        </w:r>
      </w:hyperlink>
      <w:r w:rsidR="00C377AE">
        <w:t xml:space="preserve"> </w:t>
      </w:r>
    </w:p>
    <w:p w14:paraId="1DB0D43D" w14:textId="6D079A56" w:rsidR="00F408E9" w:rsidRDefault="0009423B" w:rsidP="00DE0E56">
      <w:hyperlink r:id="rId12" w:history="1">
        <w:r w:rsidR="00CD12B6">
          <w:rPr>
            <w:rStyle w:val="Hyperlink"/>
          </w:rPr>
          <w:t>Ministry of Education: Administration and Roll Return Information</w:t>
        </w:r>
      </w:hyperlink>
    </w:p>
    <w:p w14:paraId="60C12041" w14:textId="77777777" w:rsidR="00F408E9" w:rsidRDefault="00F408E9" w:rsidP="00DE0E56"/>
    <w:p w14:paraId="22242BFD" w14:textId="6E2B07B3" w:rsidR="003746D0" w:rsidRDefault="003746D0" w:rsidP="00DE0E56">
      <w:r>
        <w:t>Approved:</w:t>
      </w:r>
      <w:r w:rsidR="0009423B">
        <w:tab/>
      </w:r>
      <w:r w:rsidR="0009423B">
        <w:rPr>
          <w:noProof/>
        </w:rPr>
        <w:drawing>
          <wp:inline distT="0" distB="0" distL="0" distR="0" wp14:anchorId="03D34642" wp14:editId="5B3AF890">
            <wp:extent cx="1095375" cy="409575"/>
            <wp:effectExtent l="0" t="0" r="9525" b="9525"/>
            <wp:docPr id="1" name="Picture 1" descr="H:\2020\2020 Signatures\K Stobbs 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:\2020\2020 Signatures\K Stobbs edited.jpg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F5396" w14:textId="4D72B91B" w:rsidR="003746D0" w:rsidRDefault="003746D0" w:rsidP="00DE0E56">
      <w:r>
        <w:t>Date:</w:t>
      </w:r>
      <w:r w:rsidR="0009423B">
        <w:tab/>
        <w:t>1 October 2023</w:t>
      </w:r>
    </w:p>
    <w:p w14:paraId="79DF12ED" w14:textId="48658E9C" w:rsidR="003746D0" w:rsidRDefault="003746D0" w:rsidP="00DE0E56">
      <w:r>
        <w:t>Next Review: 2026</w:t>
      </w:r>
    </w:p>
    <w:sectPr w:rsidR="003746D0" w:rsidSect="00F00755">
      <w:footerReference w:type="defaul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3B226" w14:textId="77777777" w:rsidR="008338AF" w:rsidRDefault="008338AF" w:rsidP="00EE2F2D">
      <w:pPr>
        <w:spacing w:after="0" w:line="240" w:lineRule="auto"/>
      </w:pPr>
      <w:r>
        <w:separator/>
      </w:r>
    </w:p>
  </w:endnote>
  <w:endnote w:type="continuationSeparator" w:id="0">
    <w:p w14:paraId="242B8B44" w14:textId="77777777" w:rsidR="008338AF" w:rsidRDefault="008338AF" w:rsidP="00EE2F2D">
      <w:pPr>
        <w:spacing w:after="0" w:line="240" w:lineRule="auto"/>
      </w:pPr>
      <w:r>
        <w:continuationSeparator/>
      </w:r>
    </w:p>
  </w:endnote>
  <w:endnote w:type="continuationNotice" w:id="1">
    <w:p w14:paraId="0E5E225F" w14:textId="77777777" w:rsidR="00912FCC" w:rsidRDefault="00912F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5DCB7" w14:textId="6A761E0E" w:rsidR="00EE2F2D" w:rsidRDefault="000D56DF">
    <w:pPr>
      <w:pStyle w:val="Footer"/>
      <w:rPr>
        <w:b/>
        <w:bCs/>
        <w:lang w:val="en-US"/>
      </w:rPr>
    </w:pPr>
    <w:r>
      <w:rPr>
        <w:lang w:val="en-US"/>
      </w:rPr>
      <w:t>OP</w:t>
    </w:r>
    <w:r w:rsidR="00231E3B">
      <w:rPr>
        <w:lang w:val="en-US"/>
      </w:rPr>
      <w:t>1-0</w:t>
    </w:r>
    <w:r w:rsidR="006B6BDE">
      <w:rPr>
        <w:lang w:val="en-US"/>
      </w:rPr>
      <w:t>8</w:t>
    </w:r>
    <w:r w:rsidR="00231E3B">
      <w:rPr>
        <w:lang w:val="en-US"/>
      </w:rPr>
      <w:t xml:space="preserve"> 2023 </w:t>
    </w:r>
    <w:r w:rsidR="00495E76">
      <w:rPr>
        <w:lang w:val="en-US"/>
      </w:rPr>
      <w:t>BLENNZ Work Experience Policy</w:t>
    </w:r>
    <w:r w:rsidR="00231E3B">
      <w:rPr>
        <w:lang w:val="en-US"/>
      </w:rPr>
      <w:tab/>
    </w:r>
    <w:r w:rsidR="00231E3B" w:rsidRPr="00231E3B">
      <w:rPr>
        <w:lang w:val="en-US"/>
      </w:rPr>
      <w:t xml:space="preserve">Page </w:t>
    </w:r>
    <w:r w:rsidR="00231E3B" w:rsidRPr="00231E3B">
      <w:rPr>
        <w:b/>
        <w:bCs/>
        <w:lang w:val="en-US"/>
      </w:rPr>
      <w:fldChar w:fldCharType="begin"/>
    </w:r>
    <w:r w:rsidR="00231E3B" w:rsidRPr="00231E3B">
      <w:rPr>
        <w:b/>
        <w:bCs/>
        <w:lang w:val="en-US"/>
      </w:rPr>
      <w:instrText xml:space="preserve"> PAGE  \* Arabic  \* MERGEFORMAT </w:instrText>
    </w:r>
    <w:r w:rsidR="00231E3B" w:rsidRPr="00231E3B">
      <w:rPr>
        <w:b/>
        <w:bCs/>
        <w:lang w:val="en-US"/>
      </w:rPr>
      <w:fldChar w:fldCharType="separate"/>
    </w:r>
    <w:r w:rsidR="00231E3B" w:rsidRPr="00231E3B">
      <w:rPr>
        <w:b/>
        <w:bCs/>
        <w:noProof/>
        <w:lang w:val="en-US"/>
      </w:rPr>
      <w:t>1</w:t>
    </w:r>
    <w:r w:rsidR="00231E3B" w:rsidRPr="00231E3B">
      <w:rPr>
        <w:b/>
        <w:bCs/>
        <w:lang w:val="en-US"/>
      </w:rPr>
      <w:fldChar w:fldCharType="end"/>
    </w:r>
    <w:r w:rsidR="00231E3B" w:rsidRPr="00231E3B">
      <w:rPr>
        <w:lang w:val="en-US"/>
      </w:rPr>
      <w:t xml:space="preserve"> of </w:t>
    </w:r>
    <w:r w:rsidR="00231E3B" w:rsidRPr="00231E3B">
      <w:rPr>
        <w:b/>
        <w:bCs/>
        <w:lang w:val="en-US"/>
      </w:rPr>
      <w:fldChar w:fldCharType="begin"/>
    </w:r>
    <w:r w:rsidR="00231E3B" w:rsidRPr="00231E3B">
      <w:rPr>
        <w:b/>
        <w:bCs/>
        <w:lang w:val="en-US"/>
      </w:rPr>
      <w:instrText xml:space="preserve"> NUMPAGES  \* Arabic  \* MERGEFORMAT </w:instrText>
    </w:r>
    <w:r w:rsidR="00231E3B" w:rsidRPr="00231E3B">
      <w:rPr>
        <w:b/>
        <w:bCs/>
        <w:lang w:val="en-US"/>
      </w:rPr>
      <w:fldChar w:fldCharType="separate"/>
    </w:r>
    <w:r w:rsidR="00231E3B" w:rsidRPr="00231E3B">
      <w:rPr>
        <w:b/>
        <w:bCs/>
        <w:noProof/>
        <w:lang w:val="en-US"/>
      </w:rPr>
      <w:t>2</w:t>
    </w:r>
    <w:r w:rsidR="00231E3B" w:rsidRPr="00231E3B">
      <w:rPr>
        <w:b/>
        <w:bCs/>
        <w:lang w:val="en-US"/>
      </w:rPr>
      <w:fldChar w:fldCharType="end"/>
    </w:r>
  </w:p>
  <w:p w14:paraId="5969530B" w14:textId="3968EE17" w:rsidR="00231E3B" w:rsidRPr="00231E3B" w:rsidRDefault="00C3721C">
    <w:pPr>
      <w:pStyle w:val="Footer"/>
      <w:rPr>
        <w:lang w:val="en-US"/>
      </w:rPr>
    </w:pPr>
    <w:r>
      <w:rPr>
        <w:lang w:val="en-US"/>
      </w:rPr>
      <w:t>September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815C3" w14:textId="77777777" w:rsidR="008338AF" w:rsidRDefault="008338AF" w:rsidP="00EE2F2D">
      <w:pPr>
        <w:spacing w:after="0" w:line="240" w:lineRule="auto"/>
      </w:pPr>
      <w:r>
        <w:separator/>
      </w:r>
    </w:p>
  </w:footnote>
  <w:footnote w:type="continuationSeparator" w:id="0">
    <w:p w14:paraId="13DDD637" w14:textId="77777777" w:rsidR="008338AF" w:rsidRDefault="008338AF" w:rsidP="00EE2F2D">
      <w:pPr>
        <w:spacing w:after="0" w:line="240" w:lineRule="auto"/>
      </w:pPr>
      <w:r>
        <w:continuationSeparator/>
      </w:r>
    </w:p>
  </w:footnote>
  <w:footnote w:type="continuationNotice" w:id="1">
    <w:p w14:paraId="56CD8295" w14:textId="77777777" w:rsidR="00912FCC" w:rsidRDefault="00912FC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56627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1CAED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A806E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8F045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D4A5D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83CCB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89A36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7D0A7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A201D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8702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0E2B0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3B14F1"/>
    <w:multiLevelType w:val="hybridMultilevel"/>
    <w:tmpl w:val="42900298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C22EBF"/>
    <w:multiLevelType w:val="hybridMultilevel"/>
    <w:tmpl w:val="418646D8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A24F2B"/>
    <w:multiLevelType w:val="hybridMultilevel"/>
    <w:tmpl w:val="FA4606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4D5D69"/>
    <w:multiLevelType w:val="hybridMultilevel"/>
    <w:tmpl w:val="7B2CDF9C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0DA4"/>
    <w:multiLevelType w:val="hybridMultilevel"/>
    <w:tmpl w:val="1376ED40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B0577"/>
    <w:multiLevelType w:val="hybridMultilevel"/>
    <w:tmpl w:val="C6C0503E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019D3"/>
    <w:multiLevelType w:val="hybridMultilevel"/>
    <w:tmpl w:val="8E04D956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8905D6"/>
    <w:multiLevelType w:val="multilevel"/>
    <w:tmpl w:val="3AD2F380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ACB63DD"/>
    <w:multiLevelType w:val="hybridMultilevel"/>
    <w:tmpl w:val="48207054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87E06"/>
    <w:multiLevelType w:val="hybridMultilevel"/>
    <w:tmpl w:val="E3107570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185907"/>
    <w:multiLevelType w:val="hybridMultilevel"/>
    <w:tmpl w:val="0F7676FE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BD4034"/>
    <w:multiLevelType w:val="hybridMultilevel"/>
    <w:tmpl w:val="B0FE74BA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639739">
    <w:abstractNumId w:val="0"/>
  </w:num>
  <w:num w:numId="2" w16cid:durableId="1474911906">
    <w:abstractNumId w:val="1"/>
  </w:num>
  <w:num w:numId="3" w16cid:durableId="581376447">
    <w:abstractNumId w:val="2"/>
  </w:num>
  <w:num w:numId="4" w16cid:durableId="728960351">
    <w:abstractNumId w:val="3"/>
  </w:num>
  <w:num w:numId="5" w16cid:durableId="1415777944">
    <w:abstractNumId w:val="4"/>
  </w:num>
  <w:num w:numId="6" w16cid:durableId="48769944">
    <w:abstractNumId w:val="9"/>
  </w:num>
  <w:num w:numId="7" w16cid:durableId="2073650760">
    <w:abstractNumId w:val="5"/>
  </w:num>
  <w:num w:numId="8" w16cid:durableId="1331567158">
    <w:abstractNumId w:val="6"/>
  </w:num>
  <w:num w:numId="9" w16cid:durableId="1849247192">
    <w:abstractNumId w:val="7"/>
  </w:num>
  <w:num w:numId="10" w16cid:durableId="1693335159">
    <w:abstractNumId w:val="8"/>
  </w:num>
  <w:num w:numId="11" w16cid:durableId="1850638292">
    <w:abstractNumId w:val="10"/>
  </w:num>
  <w:num w:numId="12" w16cid:durableId="935137348">
    <w:abstractNumId w:val="11"/>
  </w:num>
  <w:num w:numId="13" w16cid:durableId="724835111">
    <w:abstractNumId w:val="20"/>
  </w:num>
  <w:num w:numId="14" w16cid:durableId="349306973">
    <w:abstractNumId w:val="12"/>
  </w:num>
  <w:num w:numId="15" w16cid:durableId="1840733466">
    <w:abstractNumId w:val="21"/>
  </w:num>
  <w:num w:numId="16" w16cid:durableId="598756476">
    <w:abstractNumId w:val="22"/>
  </w:num>
  <w:num w:numId="17" w16cid:durableId="1346444109">
    <w:abstractNumId w:val="15"/>
  </w:num>
  <w:num w:numId="18" w16cid:durableId="191236497">
    <w:abstractNumId w:val="16"/>
  </w:num>
  <w:num w:numId="19" w16cid:durableId="238948491">
    <w:abstractNumId w:val="17"/>
  </w:num>
  <w:num w:numId="20" w16cid:durableId="1320109954">
    <w:abstractNumId w:val="14"/>
  </w:num>
  <w:num w:numId="21" w16cid:durableId="93214629">
    <w:abstractNumId w:val="19"/>
  </w:num>
  <w:num w:numId="22" w16cid:durableId="342247459">
    <w:abstractNumId w:val="18"/>
  </w:num>
  <w:num w:numId="23" w16cid:durableId="6792823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56"/>
    <w:rsid w:val="0009423B"/>
    <w:rsid w:val="000A0CD3"/>
    <w:rsid w:val="000B5A64"/>
    <w:rsid w:val="000D56DF"/>
    <w:rsid w:val="001054D2"/>
    <w:rsid w:val="00231E3B"/>
    <w:rsid w:val="00237C38"/>
    <w:rsid w:val="002543D1"/>
    <w:rsid w:val="002802E2"/>
    <w:rsid w:val="003746D0"/>
    <w:rsid w:val="00495E76"/>
    <w:rsid w:val="005A3D49"/>
    <w:rsid w:val="005D2C87"/>
    <w:rsid w:val="006B4D2C"/>
    <w:rsid w:val="006B6BDE"/>
    <w:rsid w:val="00716B42"/>
    <w:rsid w:val="00730602"/>
    <w:rsid w:val="007C0F8E"/>
    <w:rsid w:val="007E1CF4"/>
    <w:rsid w:val="00827BC2"/>
    <w:rsid w:val="008338AF"/>
    <w:rsid w:val="00912FCC"/>
    <w:rsid w:val="009D1D5D"/>
    <w:rsid w:val="00A8052F"/>
    <w:rsid w:val="00AC4AD4"/>
    <w:rsid w:val="00AC6B4E"/>
    <w:rsid w:val="00B02574"/>
    <w:rsid w:val="00B12EF7"/>
    <w:rsid w:val="00B71001"/>
    <w:rsid w:val="00BA28CB"/>
    <w:rsid w:val="00C3721C"/>
    <w:rsid w:val="00C377AE"/>
    <w:rsid w:val="00CD12B6"/>
    <w:rsid w:val="00D27488"/>
    <w:rsid w:val="00DE0E56"/>
    <w:rsid w:val="00E80245"/>
    <w:rsid w:val="00EE2F2D"/>
    <w:rsid w:val="00F00755"/>
    <w:rsid w:val="00F408E9"/>
    <w:rsid w:val="00FD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0FBB0"/>
  <w15:chartTrackingRefBased/>
  <w15:docId w15:val="{FBA074B4-EB27-41B1-8B17-CA5A09E3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BC2"/>
    <w:pPr>
      <w:spacing w:after="200" w:line="288" w:lineRule="auto"/>
    </w:pPr>
    <w:rPr>
      <w:rFonts w:ascii="Arial" w:hAnsi="Arial"/>
      <w:lang w:val="en-NZ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C0F8E"/>
    <w:pPr>
      <w:keepNext/>
      <w:keepLines/>
      <w:spacing w:before="240" w:after="240"/>
      <w:outlineLvl w:val="0"/>
    </w:pPr>
    <w:rPr>
      <w:rFonts w:eastAsiaTheme="majorEastAsia" w:cstheme="majorBidi"/>
      <w:b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827BC2"/>
    <w:pPr>
      <w:keepNext/>
      <w:keepLines/>
      <w:spacing w:before="120" w:after="12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827BC2"/>
    <w:pPr>
      <w:keepNext/>
      <w:keepLines/>
      <w:spacing w:before="80" w:after="40"/>
      <w:outlineLvl w:val="2"/>
    </w:pPr>
    <w:rPr>
      <w:rFonts w:eastAsiaTheme="majorEastAsia" w:cstheme="majorBidi"/>
      <w:color w:val="000000" w:themeColor="text1"/>
      <w:sz w:val="32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827BC2"/>
    <w:pPr>
      <w:keepNext/>
      <w:keepLines/>
      <w:spacing w:before="40" w:after="40"/>
      <w:outlineLvl w:val="3"/>
    </w:pPr>
    <w:rPr>
      <w:rFonts w:eastAsiaTheme="majorEastAsia" w:cstheme="majorBidi"/>
      <w:b/>
      <w:i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F8E"/>
    <w:rPr>
      <w:rFonts w:ascii="Arial" w:eastAsiaTheme="majorEastAsia" w:hAnsi="Arial" w:cstheme="majorBidi"/>
      <w:b/>
      <w:color w:val="000000" w:themeColor="text1"/>
      <w:sz w:val="40"/>
      <w:szCs w:val="32"/>
      <w:lang w:val="en-NZ"/>
    </w:rPr>
  </w:style>
  <w:style w:type="character" w:customStyle="1" w:styleId="Heading2Char">
    <w:name w:val="Heading 2 Char"/>
    <w:basedOn w:val="DefaultParagraphFont"/>
    <w:link w:val="Heading2"/>
    <w:uiPriority w:val="9"/>
    <w:rsid w:val="00827BC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7BC2"/>
    <w:rPr>
      <w:rFonts w:ascii="Arial" w:eastAsiaTheme="majorEastAsia" w:hAnsi="Arial" w:cstheme="majorBidi"/>
      <w:color w:val="000000" w:themeColor="text1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27BC2"/>
    <w:rPr>
      <w:rFonts w:ascii="Arial" w:eastAsiaTheme="majorEastAsia" w:hAnsi="Arial" w:cstheme="majorBidi"/>
      <w:b/>
      <w:iCs/>
      <w:color w:val="000000" w:themeColor="text1"/>
      <w:sz w:val="28"/>
    </w:rPr>
  </w:style>
  <w:style w:type="paragraph" w:styleId="ListParagraph">
    <w:name w:val="List Paragraph"/>
    <w:basedOn w:val="Normal"/>
    <w:uiPriority w:val="34"/>
    <w:qFormat/>
    <w:rsid w:val="007C0F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25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5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02E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F2D"/>
    <w:rPr>
      <w:rFonts w:ascii="Arial" w:hAnsi="Arial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EE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F2D"/>
    <w:rPr>
      <w:rFonts w:ascii="Arial" w:hAnsi="Arial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6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youthguarantee.education.govt.nz/initiatives/opportunities-at-school-and-beyond/trades-academies/supplementary-roll-returns-guidanc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reers.govt.nz/plan-your-career/get-ideas-for-your-career/work-experience-option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education.govt.nz/assets/Uploads/SES-Students-on-Work-Experience-H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ie.stewart\OneDrive%20-%20Blind%20and%20Low%20Vision%20Education%20Network%20NZ\Documents\Custom%20Office%20Templates\Accessible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8AFE7FDFDE9A4AB6E02AB681311207" ma:contentTypeVersion="16" ma:contentTypeDescription="Create a new document." ma:contentTypeScope="" ma:versionID="0b6594f0dbc7399c9bb1c76211331bf4">
  <xsd:schema xmlns:xsd="http://www.w3.org/2001/XMLSchema" xmlns:xs="http://www.w3.org/2001/XMLSchema" xmlns:p="http://schemas.microsoft.com/office/2006/metadata/properties" xmlns:ns2="806377ac-65e5-4de6-a576-ed9bbd38d598" xmlns:ns3="ba88ec04-25a7-4cd5-abd9-12b8e17c889a" targetNamespace="http://schemas.microsoft.com/office/2006/metadata/properties" ma:root="true" ma:fieldsID="156b19dc768a74542bddaa4b4ed18654" ns2:_="" ns3:_="">
    <xsd:import namespace="806377ac-65e5-4de6-a576-ed9bbd38d598"/>
    <xsd:import namespace="ba88ec04-25a7-4cd5-abd9-12b8e17c88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77ac-65e5-4de6-a576-ed9bbd38d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e565da1-54a9-4074-83b6-4813805b07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8ec04-25a7-4cd5-abd9-12b8e17c889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20c4926-efbf-4569-80c0-f7dc9793ec97}" ma:internalName="TaxCatchAll" ma:showField="CatchAllData" ma:web="ba88ec04-25a7-4cd5-abd9-12b8e17c88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88ec04-25a7-4cd5-abd9-12b8e17c889a" xsi:nil="true"/>
    <lcf76f155ced4ddcb4097134ff3c332f xmlns="806377ac-65e5-4de6-a576-ed9bbd38d5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7194B9-025D-4F68-814F-D275DC490D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EF84A2-758B-44D4-A182-67B152676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77ac-65e5-4de6-a576-ed9bbd38d598"/>
    <ds:schemaRef ds:uri="ba88ec04-25a7-4cd5-abd9-12b8e17c88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58BCFF-958C-4292-9DC0-98642AF7BFDC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ba88ec04-25a7-4cd5-abd9-12b8e17c889a"/>
    <ds:schemaRef ds:uri="806377ac-65e5-4de6-a576-ed9bbd38d5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Document</Template>
  <TotalTime>0</TotalTime>
  <Pages>4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Stewart</dc:creator>
  <cp:keywords/>
  <dc:description/>
  <cp:lastModifiedBy>Bridget Lamphee</cp:lastModifiedBy>
  <cp:revision>2</cp:revision>
  <cp:lastPrinted>2023-11-22T22:42:00Z</cp:lastPrinted>
  <dcterms:created xsi:type="dcterms:W3CDTF">2023-11-30T20:51:00Z</dcterms:created>
  <dcterms:modified xsi:type="dcterms:W3CDTF">2023-11-30T20:51:00Z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0x010100928AFE7FDFDE9A4AB6E02AB681311207</vt:lpwstr>
  </property>
  <property fmtid="{D5CDD505-2E9C-101B-9397-08002B2CF9AE}" pid="3" name="MediaServiceImageTags">
    <vt:lpwstr/>
  </property>
</Properties>
</file>