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47FF8" w14:textId="262BA537" w:rsidR="00700D08" w:rsidRPr="00700D08" w:rsidRDefault="00076F0A" w:rsidP="00076F0A">
      <w:pPr>
        <w:pStyle w:val="Heading1"/>
      </w:pPr>
      <w:r>
        <w:t>Board of Trustees Policy</w:t>
      </w:r>
      <w:r w:rsidR="00700D08">
        <w:t>: Education Outside the Classroom (NAG 5)</w:t>
      </w:r>
    </w:p>
    <w:p w14:paraId="7E90130F" w14:textId="77777777" w:rsidR="006B4694" w:rsidRDefault="006B4694" w:rsidP="006B4694">
      <w:pPr>
        <w:pStyle w:val="Heading2"/>
      </w:pPr>
      <w:r>
        <w:t>Blind &amp; Low Vision Education Network NZ</w:t>
      </w:r>
    </w:p>
    <w:p w14:paraId="0A37501D" w14:textId="77777777" w:rsidR="004068DB" w:rsidRDefault="004068DB"/>
    <w:p w14:paraId="6E23DAD0" w14:textId="77777777" w:rsidR="0083175E" w:rsidRDefault="0083175E" w:rsidP="0023787F">
      <w:pPr>
        <w:pStyle w:val="Heading2"/>
      </w:pPr>
      <w:r>
        <w:t>Definition:</w:t>
      </w:r>
    </w:p>
    <w:p w14:paraId="5EC079C8" w14:textId="2398E3DE" w:rsidR="00E3070C" w:rsidRDefault="0083175E" w:rsidP="58660067">
      <w:r>
        <w:t>Education Outside the Classroom (EOTC) is a generic term to describe curriculum-based learning that extends beyond the walls of the classroom. This can range from a museum or marae visit to a sports visit, outdoor education camp, a field trip to rocky shore</w:t>
      </w:r>
      <w:r w:rsidR="00EB038D">
        <w:t xml:space="preserve"> or</w:t>
      </w:r>
      <w:r>
        <w:t xml:space="preserve"> a vis</w:t>
      </w:r>
      <w:r w:rsidR="009F5274">
        <w:t>it to practise another language</w:t>
      </w:r>
      <w:r w:rsidR="00016B91">
        <w:t>.</w:t>
      </w:r>
      <w:r>
        <w:t xml:space="preserve"> EOTC can take place in the school grounds, in the local community, or in regions further afield including overseas (MOE “</w:t>
      </w:r>
      <w:r w:rsidR="4B490D96">
        <w:t>Bringing the Curriculum Alive:</w:t>
      </w:r>
      <w:r w:rsidR="00451146">
        <w:t xml:space="preserve"> </w:t>
      </w:r>
      <w:r w:rsidR="4B490D96">
        <w:t>EOTC Guidelines 2016)</w:t>
      </w:r>
      <w:r w:rsidR="006B4694">
        <w:t xml:space="preserve">. </w:t>
      </w:r>
    </w:p>
    <w:p w14:paraId="67C19E79" w14:textId="22277501" w:rsidR="006B4694" w:rsidRDefault="00BA2F0A" w:rsidP="58660067">
      <w:r>
        <w:t>EOTC policy and processes do not cover Specialist Services</w:t>
      </w:r>
      <w:r w:rsidR="00016B91">
        <w:t xml:space="preserve"> (identified on the Specialist Services Standards)</w:t>
      </w:r>
      <w:r>
        <w:t xml:space="preserve"> programmes that are developed and led by the Specialist.  This includes Developmental Orientation and Mobility Specialist programmes that </w:t>
      </w:r>
      <w:r w:rsidR="00575A07">
        <w:t>comply with</w:t>
      </w:r>
      <w:r>
        <w:t xml:space="preserve"> the Specialist Service Standards as well </w:t>
      </w:r>
      <w:r w:rsidR="00575A07">
        <w:t>as</w:t>
      </w:r>
      <w:r>
        <w:t xml:space="preserve"> the BLENNZ DOM Service professional processes and risk management (see links below).</w:t>
      </w:r>
    </w:p>
    <w:p w14:paraId="413286E1" w14:textId="45018E6C" w:rsidR="00E5450D" w:rsidRDefault="00E5450D" w:rsidP="58660067">
      <w:r>
        <w:t>Classrooms, in terms of BLENNZ programmes, includes all teaching spaces in the Homai Campus School,</w:t>
      </w:r>
      <w:r w:rsidR="4A82C8F7">
        <w:t xml:space="preserve"> Whāre Nikau,</w:t>
      </w:r>
      <w:r>
        <w:t xml:space="preserve"> the </w:t>
      </w:r>
      <w:r w:rsidR="340E8A43">
        <w:t xml:space="preserve">BELS Centre </w:t>
      </w:r>
      <w:r w:rsidR="36A6C086">
        <w:t xml:space="preserve"> </w:t>
      </w:r>
      <w:r>
        <w:t xml:space="preserve"> and Visual Resource Centres. It also includes the Homai Campus Outdoor Learning Environment.</w:t>
      </w:r>
    </w:p>
    <w:p w14:paraId="2632739D" w14:textId="77777777" w:rsidR="00700D08" w:rsidRPr="0023787F" w:rsidRDefault="00700D08" w:rsidP="0023787F">
      <w:pPr>
        <w:pStyle w:val="Heading2"/>
        <w:rPr>
          <w:lang w:val="mi-NZ"/>
        </w:rPr>
      </w:pPr>
      <w:r>
        <w:t>Statement of Intent:</w:t>
      </w:r>
    </w:p>
    <w:p w14:paraId="42ED57A6" w14:textId="77777777" w:rsidR="00AA293E" w:rsidRDefault="00700D08" w:rsidP="00AA293E">
      <w:r>
        <w:t>The Blind &amp; Low Vision Education Network NZ (BLENNZ) has a responsibility to ensure all those involved with Education Outside the Classroom (EOTC) understand the obligations to the health and safety to ākonga, staff, themselves and the environment in their places of work.</w:t>
      </w:r>
      <w:r w:rsidR="0083175E">
        <w:t xml:space="preserve"> EOTC within BLENNZ aims to provide ākonga with experiences appropriate to their needs and environment. </w:t>
      </w:r>
    </w:p>
    <w:p w14:paraId="6C84ED37" w14:textId="77777777" w:rsidR="0083175E" w:rsidRDefault="0083175E" w:rsidP="0023787F">
      <w:pPr>
        <w:pStyle w:val="Heading2"/>
      </w:pPr>
      <w:r>
        <w:t>Policy Requirements:</w:t>
      </w:r>
    </w:p>
    <w:p w14:paraId="392A35F9" w14:textId="2C3E5FD0" w:rsidR="00AA293E" w:rsidRDefault="00533097" w:rsidP="006B4694">
      <w:pPr>
        <w:ind w:left="720" w:hanging="720"/>
      </w:pPr>
      <w:r>
        <w:t>1.</w:t>
      </w:r>
      <w:r>
        <w:tab/>
      </w:r>
      <w:r w:rsidR="6A6C1C0C">
        <w:t>The Principal is to ensure that an EOTC procedure and associated processes are in place within the school that are current, known to staff, and:</w:t>
      </w:r>
    </w:p>
    <w:p w14:paraId="4D68743B" w14:textId="1607E1B1" w:rsidR="00AA293E" w:rsidRDefault="6A6C1C0C" w:rsidP="0023787F">
      <w:pPr>
        <w:pStyle w:val="ListParagraph"/>
        <w:numPr>
          <w:ilvl w:val="0"/>
          <w:numId w:val="11"/>
        </w:numPr>
        <w:rPr>
          <w:rFonts w:asciiTheme="minorHAnsi" w:eastAsiaTheme="minorEastAsia" w:hAnsiTheme="minorHAnsi"/>
          <w:szCs w:val="24"/>
        </w:rPr>
      </w:pPr>
      <w:r w:rsidRPr="58660067">
        <w:rPr>
          <w:rFonts w:eastAsia="Calibri"/>
          <w:szCs w:val="24"/>
        </w:rPr>
        <w:t xml:space="preserve">Meet all legislative </w:t>
      </w:r>
      <w:r w:rsidR="486B387E" w:rsidRPr="58660067">
        <w:rPr>
          <w:rFonts w:eastAsia="Calibri"/>
          <w:szCs w:val="24"/>
        </w:rPr>
        <w:t>requirements.</w:t>
      </w:r>
    </w:p>
    <w:p w14:paraId="29B39DA8" w14:textId="172E9600" w:rsidR="00AA293E" w:rsidRDefault="6A6C1C0C" w:rsidP="0023787F">
      <w:pPr>
        <w:pStyle w:val="ListParagraph"/>
        <w:numPr>
          <w:ilvl w:val="0"/>
          <w:numId w:val="11"/>
        </w:numPr>
        <w:rPr>
          <w:szCs w:val="24"/>
        </w:rPr>
      </w:pPr>
      <w:r w:rsidRPr="58660067">
        <w:rPr>
          <w:rFonts w:eastAsia="Calibri"/>
          <w:szCs w:val="24"/>
        </w:rPr>
        <w:t xml:space="preserve">Meet all current MOE </w:t>
      </w:r>
      <w:r w:rsidR="63BE287C" w:rsidRPr="58660067">
        <w:rPr>
          <w:rFonts w:eastAsia="Calibri"/>
          <w:szCs w:val="24"/>
        </w:rPr>
        <w:t>requirements.</w:t>
      </w:r>
    </w:p>
    <w:p w14:paraId="646760C2" w14:textId="15F08FC3" w:rsidR="00AA293E" w:rsidRDefault="6A6C1C0C" w:rsidP="0023787F">
      <w:pPr>
        <w:pStyle w:val="ListParagraph"/>
        <w:numPr>
          <w:ilvl w:val="0"/>
          <w:numId w:val="11"/>
        </w:numPr>
        <w:rPr>
          <w:szCs w:val="24"/>
        </w:rPr>
      </w:pPr>
      <w:r w:rsidRPr="58660067">
        <w:rPr>
          <w:rFonts w:eastAsia="Calibri"/>
          <w:szCs w:val="24"/>
        </w:rPr>
        <w:t xml:space="preserve">Provide for curriculum </w:t>
      </w:r>
      <w:r w:rsidR="2371008E" w:rsidRPr="58660067">
        <w:rPr>
          <w:rFonts w:eastAsia="Calibri"/>
          <w:szCs w:val="24"/>
        </w:rPr>
        <w:t>needs.</w:t>
      </w:r>
    </w:p>
    <w:p w14:paraId="40A5579E" w14:textId="4429F508" w:rsidR="00AA293E" w:rsidRDefault="6A6C1C0C" w:rsidP="0023787F">
      <w:pPr>
        <w:pStyle w:val="ListParagraph"/>
        <w:numPr>
          <w:ilvl w:val="0"/>
          <w:numId w:val="11"/>
        </w:numPr>
        <w:rPr>
          <w:szCs w:val="24"/>
        </w:rPr>
      </w:pPr>
      <w:r w:rsidRPr="58660067">
        <w:rPr>
          <w:rFonts w:eastAsia="Calibri"/>
          <w:szCs w:val="24"/>
        </w:rPr>
        <w:t>Reflect best practice</w:t>
      </w:r>
    </w:p>
    <w:p w14:paraId="641087B2" w14:textId="2BC4DC05" w:rsidR="00AA293E" w:rsidRDefault="6A6C1C0C" w:rsidP="0023787F">
      <w:pPr>
        <w:pStyle w:val="ListParagraph"/>
        <w:numPr>
          <w:ilvl w:val="0"/>
          <w:numId w:val="11"/>
        </w:numPr>
        <w:rPr>
          <w:szCs w:val="24"/>
        </w:rPr>
      </w:pPr>
      <w:r w:rsidRPr="58660067">
        <w:rPr>
          <w:rFonts w:eastAsia="Calibri"/>
          <w:szCs w:val="24"/>
        </w:rPr>
        <w:t xml:space="preserve">Meet the </w:t>
      </w:r>
      <w:r w:rsidR="3F2553E3" w:rsidRPr="58660067">
        <w:rPr>
          <w:rFonts w:eastAsia="Calibri"/>
          <w:szCs w:val="24"/>
        </w:rPr>
        <w:t>requirements</w:t>
      </w:r>
      <w:r w:rsidRPr="58660067">
        <w:rPr>
          <w:rFonts w:eastAsia="Calibri"/>
          <w:szCs w:val="24"/>
        </w:rPr>
        <w:t xml:space="preserve"> of this Policy</w:t>
      </w:r>
    </w:p>
    <w:p w14:paraId="7E39E4AE" w14:textId="509549AB" w:rsidR="00AA293E" w:rsidRDefault="2CA6ACD0" w:rsidP="58660067">
      <w:pPr>
        <w:rPr>
          <w:rFonts w:eastAsia="Calibri"/>
          <w:szCs w:val="24"/>
        </w:rPr>
      </w:pPr>
      <w:r>
        <w:t>2.</w:t>
      </w:r>
      <w:r w:rsidR="00533097">
        <w:tab/>
      </w:r>
      <w:r>
        <w:t>The Board will meet its obligations through the Principal and staff who:</w:t>
      </w:r>
    </w:p>
    <w:p w14:paraId="1F53B2A2" w14:textId="216763E1" w:rsidR="00AA293E" w:rsidRDefault="28FD7C67" w:rsidP="0023787F">
      <w:pPr>
        <w:pStyle w:val="ListParagraph"/>
        <w:numPr>
          <w:ilvl w:val="0"/>
          <w:numId w:val="10"/>
        </w:numPr>
        <w:rPr>
          <w:rFonts w:asciiTheme="minorHAnsi" w:eastAsiaTheme="minorEastAsia" w:hAnsiTheme="minorHAnsi"/>
          <w:szCs w:val="24"/>
        </w:rPr>
      </w:pPr>
      <w:r>
        <w:t>Ensure EOTC proposals have clear and justifiable learning outcomes for ākonga;</w:t>
      </w:r>
    </w:p>
    <w:p w14:paraId="08CD141E" w14:textId="5AC86016" w:rsidR="00AA293E" w:rsidRDefault="4E6C291E" w:rsidP="0023787F">
      <w:pPr>
        <w:pStyle w:val="ListParagraph"/>
        <w:numPr>
          <w:ilvl w:val="1"/>
          <w:numId w:val="10"/>
        </w:numPr>
        <w:rPr>
          <w:rFonts w:asciiTheme="minorHAnsi" w:eastAsiaTheme="minorEastAsia" w:hAnsiTheme="minorHAnsi"/>
          <w:szCs w:val="24"/>
        </w:rPr>
      </w:pPr>
      <w:r>
        <w:t>Promote learning in all areas of the BLENNZ curriculum so that ākonga are assisted to achieve to their full potential.</w:t>
      </w:r>
    </w:p>
    <w:p w14:paraId="0A6BEA27" w14:textId="6490BEB2" w:rsidR="00AA293E" w:rsidRDefault="28FD7C67" w:rsidP="0023787F">
      <w:pPr>
        <w:pStyle w:val="ListParagraph"/>
        <w:numPr>
          <w:ilvl w:val="0"/>
          <w:numId w:val="10"/>
        </w:numPr>
        <w:rPr>
          <w:szCs w:val="24"/>
        </w:rPr>
      </w:pPr>
      <w:r w:rsidRPr="58660067">
        <w:rPr>
          <w:rFonts w:eastAsia="Calibri"/>
          <w:szCs w:val="24"/>
        </w:rPr>
        <w:t xml:space="preserve">Ensure staff involved in EOTC activities are aware of all legislative </w:t>
      </w:r>
      <w:r w:rsidR="7829792A" w:rsidRPr="58660067">
        <w:rPr>
          <w:rFonts w:eastAsia="Calibri"/>
          <w:szCs w:val="24"/>
        </w:rPr>
        <w:t>requirements.</w:t>
      </w:r>
    </w:p>
    <w:p w14:paraId="0D51F2B2" w14:textId="1F508A56" w:rsidR="00AA293E" w:rsidRDefault="28FD7C67" w:rsidP="0023787F">
      <w:pPr>
        <w:pStyle w:val="ListParagraph"/>
        <w:numPr>
          <w:ilvl w:val="0"/>
          <w:numId w:val="10"/>
        </w:numPr>
        <w:rPr>
          <w:szCs w:val="24"/>
        </w:rPr>
      </w:pPr>
      <w:r>
        <w:t>Provide detailed planning to ensure our duty of care to ākonga is paramount</w:t>
      </w:r>
    </w:p>
    <w:p w14:paraId="553FD295" w14:textId="6857F33C" w:rsidR="00AA293E" w:rsidRDefault="28FD7C67" w:rsidP="0023787F">
      <w:pPr>
        <w:pStyle w:val="ListParagraph"/>
        <w:numPr>
          <w:ilvl w:val="0"/>
          <w:numId w:val="10"/>
        </w:numPr>
        <w:rPr>
          <w:szCs w:val="24"/>
        </w:rPr>
      </w:pPr>
      <w:r>
        <w:lastRenderedPageBreak/>
        <w:t xml:space="preserve">Proposals must follow the current </w:t>
      </w:r>
      <w:r w:rsidR="006B4694">
        <w:t>BLENNZ</w:t>
      </w:r>
      <w:r>
        <w:t xml:space="preserve"> procedure</w:t>
      </w:r>
      <w:r w:rsidR="006B4694">
        <w:t>s</w:t>
      </w:r>
    </w:p>
    <w:p w14:paraId="408F7C02" w14:textId="0BEB3FC5" w:rsidR="00076F0A" w:rsidRDefault="28FD7C67" w:rsidP="0023787F">
      <w:pPr>
        <w:pStyle w:val="ListParagraph"/>
        <w:numPr>
          <w:ilvl w:val="0"/>
          <w:numId w:val="10"/>
        </w:numPr>
      </w:pPr>
      <w:r>
        <w:t>Include financial costs to both the school (including teacher relief costs) and ākonga within any proposal</w:t>
      </w:r>
    </w:p>
    <w:p w14:paraId="464E4F7A" w14:textId="74A5C76D" w:rsidR="00AA293E" w:rsidRDefault="00E3070C" w:rsidP="00E3070C">
      <w:pPr>
        <w:pStyle w:val="ListParagraph"/>
        <w:numPr>
          <w:ilvl w:val="0"/>
          <w:numId w:val="10"/>
        </w:numPr>
        <w:rPr>
          <w:szCs w:val="24"/>
          <w:lang w:val="en-US"/>
        </w:rPr>
      </w:pPr>
      <w:r>
        <w:rPr>
          <w:rFonts w:eastAsia="Calibri"/>
          <w:szCs w:val="24"/>
        </w:rPr>
        <w:t>B</w:t>
      </w:r>
      <w:r w:rsidR="6ACE903D" w:rsidRPr="58660067">
        <w:rPr>
          <w:rFonts w:eastAsia="Calibri"/>
          <w:szCs w:val="24"/>
        </w:rPr>
        <w:t xml:space="preserve">ecause the Board has entered in the MOE Donation Scheme, ensure no funds or fees are sought from </w:t>
      </w:r>
      <w:r w:rsidR="6ACE903D" w:rsidRPr="58660067">
        <w:rPr>
          <w:rFonts w:eastAsia="Calibri"/>
          <w:szCs w:val="24"/>
          <w:lang w:val="en-US"/>
        </w:rPr>
        <w:t>ākonga for any EOTC</w:t>
      </w:r>
      <w:r w:rsidR="5CD093E0" w:rsidRPr="58660067">
        <w:rPr>
          <w:rFonts w:eastAsia="Calibri"/>
          <w:szCs w:val="24"/>
          <w:lang w:val="en-US"/>
        </w:rPr>
        <w:t xml:space="preserve"> activity which is part of the required course or </w:t>
      </w:r>
      <w:r w:rsidR="44B664A2" w:rsidRPr="58660067">
        <w:rPr>
          <w:rFonts w:eastAsia="Calibri"/>
          <w:szCs w:val="24"/>
          <w:lang w:val="en-US"/>
        </w:rPr>
        <w:t>compulsory</w:t>
      </w:r>
      <w:r w:rsidR="5CD093E0" w:rsidRPr="58660067">
        <w:rPr>
          <w:rFonts w:eastAsia="Calibri"/>
          <w:szCs w:val="24"/>
          <w:lang w:val="en-US"/>
        </w:rPr>
        <w:t xml:space="preserve"> curriculum for those ākonga</w:t>
      </w:r>
      <w:r w:rsidR="0A41E38C" w:rsidRPr="58660067">
        <w:rPr>
          <w:rFonts w:eastAsia="Calibri"/>
          <w:szCs w:val="24"/>
          <w:lang w:val="en-US"/>
        </w:rPr>
        <w:t xml:space="preserve"> who enrolled on the BLENNZ Homai </w:t>
      </w:r>
      <w:r w:rsidR="02264B71" w:rsidRPr="58660067">
        <w:rPr>
          <w:rFonts w:eastAsia="Calibri"/>
          <w:szCs w:val="24"/>
          <w:lang w:val="en-US"/>
        </w:rPr>
        <w:t>Campus.</w:t>
      </w:r>
    </w:p>
    <w:p w14:paraId="4DF75A57" w14:textId="08A90C3F" w:rsidR="00AA293E" w:rsidRDefault="5CD093E0" w:rsidP="0023787F">
      <w:pPr>
        <w:pStyle w:val="ListParagraph"/>
        <w:numPr>
          <w:ilvl w:val="0"/>
          <w:numId w:val="10"/>
        </w:numPr>
        <w:rPr>
          <w:szCs w:val="24"/>
          <w:lang w:val="en-US"/>
        </w:rPr>
      </w:pPr>
      <w:r w:rsidRPr="58660067">
        <w:rPr>
          <w:rFonts w:eastAsia="Calibri"/>
          <w:szCs w:val="24"/>
          <w:lang w:val="en-US"/>
        </w:rPr>
        <w:t>Ensure the EOTC activity organiser lia</w:t>
      </w:r>
      <w:r w:rsidR="7094E388" w:rsidRPr="58660067">
        <w:rPr>
          <w:rFonts w:eastAsia="Calibri"/>
          <w:szCs w:val="24"/>
          <w:lang w:val="en-US"/>
        </w:rPr>
        <w:t>i</w:t>
      </w:r>
      <w:r w:rsidRPr="58660067">
        <w:rPr>
          <w:rFonts w:eastAsia="Calibri"/>
          <w:szCs w:val="24"/>
          <w:lang w:val="en-US"/>
        </w:rPr>
        <w:t xml:space="preserve">ses with other PCBU </w:t>
      </w:r>
      <w:r w:rsidR="006B4694">
        <w:rPr>
          <w:rFonts w:eastAsia="Calibri"/>
          <w:szCs w:val="24"/>
          <w:lang w:val="en-US"/>
        </w:rPr>
        <w:t xml:space="preserve">(Person Conducting a Business or Undertaking) </w:t>
      </w:r>
      <w:r w:rsidRPr="58660067">
        <w:rPr>
          <w:rFonts w:eastAsia="Calibri"/>
          <w:szCs w:val="24"/>
          <w:lang w:val="en-US"/>
        </w:rPr>
        <w:t>to ensure health and safety responsibilities are documented and met.</w:t>
      </w:r>
    </w:p>
    <w:p w14:paraId="53EE82B9" w14:textId="24FC2F54" w:rsidR="00AA293E" w:rsidRDefault="5CD093E0" w:rsidP="0023787F">
      <w:pPr>
        <w:pStyle w:val="ListParagraph"/>
        <w:numPr>
          <w:ilvl w:val="0"/>
          <w:numId w:val="10"/>
        </w:numPr>
        <w:rPr>
          <w:szCs w:val="24"/>
          <w:lang w:val="en-US"/>
        </w:rPr>
      </w:pPr>
      <w:r w:rsidRPr="58660067">
        <w:rPr>
          <w:rFonts w:eastAsia="Calibri"/>
          <w:szCs w:val="24"/>
          <w:lang w:val="en-US"/>
        </w:rPr>
        <w:t xml:space="preserve">Provide alternative learning programme for ākonga who are unable to </w:t>
      </w:r>
      <w:r w:rsidR="46AD94E4" w:rsidRPr="58660067">
        <w:rPr>
          <w:rFonts w:eastAsia="Calibri"/>
          <w:szCs w:val="24"/>
          <w:lang w:val="en-US"/>
        </w:rPr>
        <w:t>participate.</w:t>
      </w:r>
    </w:p>
    <w:p w14:paraId="6CDCC550" w14:textId="58D8A426" w:rsidR="00AA293E" w:rsidRDefault="5CD093E0" w:rsidP="0023787F">
      <w:pPr>
        <w:pStyle w:val="ListParagraph"/>
        <w:numPr>
          <w:ilvl w:val="0"/>
          <w:numId w:val="10"/>
        </w:numPr>
        <w:rPr>
          <w:szCs w:val="24"/>
          <w:lang w:val="en-US"/>
        </w:rPr>
      </w:pPr>
      <w:r w:rsidRPr="58660067">
        <w:rPr>
          <w:rFonts w:eastAsia="Calibri"/>
          <w:szCs w:val="24"/>
          <w:lang w:val="en-US"/>
        </w:rPr>
        <w:t xml:space="preserve">Ensure all staff members and assisting adults (including non-staff members) have current Police vetting </w:t>
      </w:r>
      <w:r w:rsidR="61D0E2B1" w:rsidRPr="58660067">
        <w:rPr>
          <w:rFonts w:eastAsia="Calibri"/>
          <w:szCs w:val="24"/>
          <w:lang w:val="en-US"/>
        </w:rPr>
        <w:t>checks.</w:t>
      </w:r>
    </w:p>
    <w:p w14:paraId="6BAAA1D7" w14:textId="65A32FF5" w:rsidR="00AA293E" w:rsidRDefault="5CD093E0" w:rsidP="0023787F">
      <w:pPr>
        <w:pStyle w:val="ListParagraph"/>
        <w:numPr>
          <w:ilvl w:val="0"/>
          <w:numId w:val="10"/>
        </w:numPr>
        <w:rPr>
          <w:szCs w:val="24"/>
          <w:lang w:val="en-US"/>
        </w:rPr>
      </w:pPr>
      <w:r w:rsidRPr="58660067">
        <w:rPr>
          <w:rFonts w:eastAsia="Calibri"/>
          <w:szCs w:val="24"/>
          <w:lang w:val="en-US"/>
        </w:rPr>
        <w:t>Ensure all staff involved in EOTC activities have adequate and on-going training provided to them;</w:t>
      </w:r>
      <w:r w:rsidR="00AD0D67">
        <w:rPr>
          <w:rFonts w:eastAsia="Calibri"/>
          <w:szCs w:val="24"/>
          <w:lang w:val="en-US"/>
        </w:rPr>
        <w:t xml:space="preserve"> </w:t>
      </w:r>
      <w:r w:rsidRPr="58660067">
        <w:rPr>
          <w:rFonts w:eastAsia="Calibri"/>
          <w:szCs w:val="24"/>
          <w:lang w:val="en-US"/>
        </w:rPr>
        <w:t>and</w:t>
      </w:r>
    </w:p>
    <w:p w14:paraId="491CD657" w14:textId="4716B4C2" w:rsidR="00533097" w:rsidRDefault="5CD093E0" w:rsidP="43944F29">
      <w:pPr>
        <w:pStyle w:val="ListParagraph"/>
        <w:numPr>
          <w:ilvl w:val="0"/>
          <w:numId w:val="10"/>
        </w:numPr>
      </w:pPr>
      <w:r w:rsidRPr="43944F29">
        <w:rPr>
          <w:rFonts w:eastAsia="Calibri"/>
          <w:lang w:val="en-US"/>
        </w:rPr>
        <w:t>Ensure that normal school rules apply during EOTC experiences.</w:t>
      </w:r>
      <w:r w:rsidR="006B5CA9">
        <w:tab/>
      </w:r>
    </w:p>
    <w:p w14:paraId="52D47F08" w14:textId="5525992A" w:rsidR="0084020A" w:rsidRDefault="00076F0A" w:rsidP="0084020A">
      <w:pPr>
        <w:ind w:left="720" w:hanging="720"/>
      </w:pPr>
      <w:r>
        <w:t>3</w:t>
      </w:r>
      <w:r w:rsidR="0084020A">
        <w:t>.</w:t>
      </w:r>
      <w:r w:rsidR="006B5CA9">
        <w:tab/>
      </w:r>
      <w:r w:rsidR="0084020A">
        <w:t>Staff will ensure that they consult with their line manager prior to the commencement of EOTC planning.</w:t>
      </w:r>
    </w:p>
    <w:p w14:paraId="1DBB38EA" w14:textId="19A448E0" w:rsidR="05561F94" w:rsidRDefault="00076F0A" w:rsidP="58660067">
      <w:pPr>
        <w:ind w:left="720" w:hanging="720"/>
        <w:rPr>
          <w:rFonts w:eastAsia="Calibri"/>
          <w:szCs w:val="24"/>
        </w:rPr>
      </w:pPr>
      <w:r>
        <w:rPr>
          <w:rFonts w:eastAsia="Calibri"/>
          <w:szCs w:val="24"/>
        </w:rPr>
        <w:t>4</w:t>
      </w:r>
      <w:r w:rsidR="0276B3A3" w:rsidRPr="58660067">
        <w:rPr>
          <w:rFonts w:eastAsia="Calibri"/>
          <w:szCs w:val="24"/>
        </w:rPr>
        <w:t>.</w:t>
      </w:r>
      <w:r w:rsidR="05561F94">
        <w:tab/>
      </w:r>
      <w:r w:rsidR="1129FDD5" w:rsidRPr="58660067">
        <w:rPr>
          <w:rFonts w:eastAsia="Calibri"/>
          <w:szCs w:val="24"/>
        </w:rPr>
        <w:t>Informed Parent/Caregiver consent is always required before an ākonga is involved in an EOTC programme.  This consent is to be fully informed th</w:t>
      </w:r>
      <w:r w:rsidR="45D44895" w:rsidRPr="58660067">
        <w:rPr>
          <w:rFonts w:eastAsia="Calibri"/>
          <w:szCs w:val="24"/>
        </w:rPr>
        <w:t>rough providing information and every aspect of the activity that is not a ‘normal school day’, including transport risks and requesting specific ākonga requirements.</w:t>
      </w:r>
    </w:p>
    <w:p w14:paraId="2F803DEF" w14:textId="54EC76EC" w:rsidR="00533097" w:rsidRDefault="00076F0A" w:rsidP="00533097">
      <w:pPr>
        <w:ind w:left="720" w:hanging="720"/>
      </w:pPr>
      <w:r>
        <w:t>5</w:t>
      </w:r>
      <w:r w:rsidR="00533097">
        <w:t>.</w:t>
      </w:r>
      <w:r w:rsidR="006B5CA9">
        <w:tab/>
      </w:r>
      <w:r w:rsidR="0084020A">
        <w:t>Staff will ensure a</w:t>
      </w:r>
      <w:r w:rsidR="00533097">
        <w:t xml:space="preserve">ll BLENNZ processes for </w:t>
      </w:r>
      <w:r w:rsidR="0084020A">
        <w:t xml:space="preserve">planning and </w:t>
      </w:r>
      <w:r w:rsidR="00533097">
        <w:t xml:space="preserve">approval </w:t>
      </w:r>
      <w:r w:rsidR="0084020A">
        <w:t>are</w:t>
      </w:r>
      <w:r w:rsidR="00533097">
        <w:t xml:space="preserve"> followed:</w:t>
      </w:r>
    </w:p>
    <w:p w14:paraId="659A7A44" w14:textId="0662D028" w:rsidR="00834F7F" w:rsidRDefault="3244AC3B" w:rsidP="58660067">
      <w:pPr>
        <w:pStyle w:val="ListParagraph"/>
        <w:numPr>
          <w:ilvl w:val="0"/>
          <w:numId w:val="6"/>
        </w:numPr>
        <w:rPr>
          <w:rFonts w:asciiTheme="minorHAnsi" w:eastAsiaTheme="minorEastAsia" w:hAnsiTheme="minorHAnsi"/>
          <w:szCs w:val="24"/>
        </w:rPr>
      </w:pPr>
      <w:r>
        <w:t xml:space="preserve">Staff to </w:t>
      </w:r>
      <w:r w:rsidR="01DAA32A">
        <w:t xml:space="preserve">ākonga </w:t>
      </w:r>
      <w:r>
        <w:t xml:space="preserve">ratios will be </w:t>
      </w:r>
      <w:r w:rsidR="4BF11A71">
        <w:t xml:space="preserve">determined in </w:t>
      </w:r>
      <w:r w:rsidR="7EE44C4A">
        <w:t>respect</w:t>
      </w:r>
      <w:r w:rsidR="4BF11A71">
        <w:t xml:space="preserve"> to ākonga need and risk assessment.</w:t>
      </w:r>
      <w:r>
        <w:t xml:space="preserve"> Where ākonga </w:t>
      </w:r>
      <w:r w:rsidR="52C18EF1">
        <w:t xml:space="preserve">on the activity being undertaken </w:t>
      </w:r>
      <w:r>
        <w:t>are assessed as requiring greater levels of support the ratio may be reduced to 1:1.</w:t>
      </w:r>
    </w:p>
    <w:p w14:paraId="171A05BC" w14:textId="0A9A0983" w:rsidR="00834F7F" w:rsidRDefault="340448FF" w:rsidP="007A316E">
      <w:pPr>
        <w:pStyle w:val="ListParagraph"/>
        <w:numPr>
          <w:ilvl w:val="0"/>
          <w:numId w:val="6"/>
        </w:numPr>
      </w:pPr>
      <w:r>
        <w:t>All low/medium risk EOTC experiences will require risk assessments and management plans to be completed and appr</w:t>
      </w:r>
      <w:r w:rsidR="4F2E188C">
        <w:t xml:space="preserve">oved </w:t>
      </w:r>
      <w:r w:rsidR="111502F1">
        <w:t>1-2</w:t>
      </w:r>
      <w:r w:rsidR="4F2E188C">
        <w:t xml:space="preserve"> week</w:t>
      </w:r>
      <w:r w:rsidR="75D2C869">
        <w:t>s</w:t>
      </w:r>
      <w:r w:rsidR="4F2E188C">
        <w:t xml:space="preserve"> prior to the event by the appropriate line manager and</w:t>
      </w:r>
      <w:r w:rsidR="6BE7387A">
        <w:t>/or</w:t>
      </w:r>
      <w:r w:rsidR="4F2E188C">
        <w:t xml:space="preserve"> Co-ordinator. </w:t>
      </w:r>
      <w:r w:rsidR="75F01EA3">
        <w:t xml:space="preserve">Approval of low/medium risk </w:t>
      </w:r>
      <w:r w:rsidR="2AA47180">
        <w:t>S</w:t>
      </w:r>
      <w:r w:rsidR="6017D142">
        <w:t>O</w:t>
      </w:r>
      <w:r w:rsidR="2AA47180">
        <w:t xml:space="preserve">P </w:t>
      </w:r>
      <w:r w:rsidR="006B4694">
        <w:t xml:space="preserve">(Standard Operating Procedure) </w:t>
      </w:r>
      <w:r w:rsidR="75F01EA3">
        <w:t>will be approved by management as per delegated authority.</w:t>
      </w:r>
    </w:p>
    <w:p w14:paraId="0A19039C" w14:textId="0CA482F8" w:rsidR="00533097" w:rsidRDefault="00533097" w:rsidP="0023787F">
      <w:pPr>
        <w:pStyle w:val="ListParagraph"/>
        <w:numPr>
          <w:ilvl w:val="0"/>
          <w:numId w:val="6"/>
        </w:numPr>
      </w:pPr>
      <w:r>
        <w:t xml:space="preserve">All high risk EOTC experiences will require </w:t>
      </w:r>
      <w:r w:rsidR="43573186">
        <w:t>an event proposal</w:t>
      </w:r>
      <w:r w:rsidR="08F96AD6">
        <w:t>,</w:t>
      </w:r>
      <w:r w:rsidR="43573186">
        <w:t xml:space="preserve"> </w:t>
      </w:r>
      <w:r>
        <w:t>risk assessments and management plans to be completed</w:t>
      </w:r>
      <w:r w:rsidR="00361D6E">
        <w:t>. Once approved by the appropriate line manager and Coordinator they are then</w:t>
      </w:r>
      <w:r>
        <w:t xml:space="preserve"> submitted </w:t>
      </w:r>
      <w:r w:rsidR="009F5274">
        <w:t xml:space="preserve">through the appropriate Senior Manager to the BLENNZ Board </w:t>
      </w:r>
      <w:r>
        <w:t>6 weeks prior to the event.</w:t>
      </w:r>
      <w:r w:rsidR="00834F7F">
        <w:t xml:space="preserve"> High risk RAMS will be approved by the Board of Trustees through its RAMS Sub Committee.</w:t>
      </w:r>
      <w:r w:rsidR="7D95959E">
        <w:t xml:space="preserve"> The Board of Trustees will consider and is responsible for approving all EOTC activities which:</w:t>
      </w:r>
    </w:p>
    <w:p w14:paraId="313FB95A" w14:textId="1762DF28" w:rsidR="55A38A68" w:rsidRDefault="55A38A68" w:rsidP="0023787F">
      <w:pPr>
        <w:pStyle w:val="ListParagraph"/>
        <w:numPr>
          <w:ilvl w:val="1"/>
          <w:numId w:val="6"/>
        </w:numPr>
      </w:pPr>
      <w:r w:rsidRPr="58660067">
        <w:rPr>
          <w:rFonts w:eastAsia="Calibri"/>
          <w:szCs w:val="24"/>
        </w:rPr>
        <w:t>Include an overnight stay outside of the BLENNZ Homa</w:t>
      </w:r>
      <w:r w:rsidR="790E7DCA" w:rsidRPr="58660067">
        <w:rPr>
          <w:rFonts w:eastAsia="Calibri"/>
          <w:szCs w:val="24"/>
        </w:rPr>
        <w:t>i</w:t>
      </w:r>
      <w:r w:rsidRPr="58660067">
        <w:rPr>
          <w:rFonts w:eastAsia="Calibri"/>
          <w:szCs w:val="24"/>
        </w:rPr>
        <w:t xml:space="preserve"> </w:t>
      </w:r>
      <w:r w:rsidR="166FE37F" w:rsidRPr="58660067">
        <w:rPr>
          <w:rFonts w:eastAsia="Calibri"/>
          <w:szCs w:val="24"/>
        </w:rPr>
        <w:t>C</w:t>
      </w:r>
      <w:r w:rsidRPr="58660067">
        <w:rPr>
          <w:rFonts w:eastAsia="Calibri"/>
          <w:szCs w:val="24"/>
        </w:rPr>
        <w:t>ampus</w:t>
      </w:r>
      <w:r w:rsidR="23DFCB60" w:rsidRPr="58660067">
        <w:rPr>
          <w:rFonts w:eastAsia="Calibri"/>
          <w:szCs w:val="24"/>
        </w:rPr>
        <w:t xml:space="preserve"> </w:t>
      </w:r>
      <w:r w:rsidR="361948E3" w:rsidRPr="58660067">
        <w:rPr>
          <w:rFonts w:eastAsia="Calibri"/>
          <w:szCs w:val="24"/>
        </w:rPr>
        <w:t>accommodation.</w:t>
      </w:r>
    </w:p>
    <w:p w14:paraId="1F64FCC7" w14:textId="1B517A16" w:rsidR="23F4EE96" w:rsidRDefault="23F4EE96" w:rsidP="58660067">
      <w:pPr>
        <w:pStyle w:val="ListParagraph"/>
        <w:numPr>
          <w:ilvl w:val="1"/>
          <w:numId w:val="6"/>
        </w:numPr>
      </w:pPr>
      <w:r w:rsidRPr="58660067">
        <w:rPr>
          <w:rFonts w:eastAsia="Calibri"/>
          <w:szCs w:val="24"/>
        </w:rPr>
        <w:t>Include water in any way, including being in the wa</w:t>
      </w:r>
      <w:r w:rsidR="4806C278" w:rsidRPr="58660067">
        <w:rPr>
          <w:rFonts w:eastAsia="Calibri"/>
          <w:szCs w:val="24"/>
        </w:rPr>
        <w:t>t</w:t>
      </w:r>
      <w:r w:rsidRPr="58660067">
        <w:rPr>
          <w:rFonts w:eastAsia="Calibri"/>
          <w:szCs w:val="24"/>
        </w:rPr>
        <w:t>er (wading, swimming etc.) or on the water (kayaking, boating, sailing).  This doe</w:t>
      </w:r>
      <w:r w:rsidR="1CE839D7" w:rsidRPr="58660067">
        <w:rPr>
          <w:rFonts w:eastAsia="Calibri"/>
          <w:szCs w:val="24"/>
        </w:rPr>
        <w:t>s not include travel on public transport such as local ferries.</w:t>
      </w:r>
    </w:p>
    <w:p w14:paraId="3A7C8E7F" w14:textId="1153B8BE" w:rsidR="1CE839D7" w:rsidRDefault="1CE839D7" w:rsidP="58660067">
      <w:pPr>
        <w:pStyle w:val="ListParagraph"/>
        <w:numPr>
          <w:ilvl w:val="1"/>
          <w:numId w:val="6"/>
        </w:numPr>
      </w:pPr>
      <w:r w:rsidRPr="58660067">
        <w:rPr>
          <w:rFonts w:eastAsia="Calibri"/>
          <w:szCs w:val="24"/>
        </w:rPr>
        <w:t>Have a reputational risk to the school</w:t>
      </w:r>
    </w:p>
    <w:p w14:paraId="2542A600" w14:textId="7284C248" w:rsidR="1CE839D7" w:rsidRDefault="1CE839D7" w:rsidP="58660067">
      <w:pPr>
        <w:pStyle w:val="ListParagraph"/>
        <w:numPr>
          <w:ilvl w:val="1"/>
          <w:numId w:val="6"/>
        </w:numPr>
      </w:pPr>
      <w:r w:rsidRPr="58660067">
        <w:rPr>
          <w:rFonts w:eastAsia="Calibri"/>
          <w:szCs w:val="24"/>
        </w:rPr>
        <w:t>Are referred to the Board by the Principal; and</w:t>
      </w:r>
    </w:p>
    <w:p w14:paraId="351329C8" w14:textId="0CC15211" w:rsidR="1CE839D7" w:rsidRDefault="1CE839D7" w:rsidP="58660067">
      <w:pPr>
        <w:pStyle w:val="ListParagraph"/>
        <w:numPr>
          <w:ilvl w:val="1"/>
          <w:numId w:val="6"/>
        </w:numPr>
      </w:pPr>
      <w:r w:rsidRPr="58660067">
        <w:rPr>
          <w:rFonts w:eastAsia="Calibri"/>
          <w:szCs w:val="24"/>
        </w:rPr>
        <w:lastRenderedPageBreak/>
        <w:t>Are referred to the Board by the EOTC organiser after having been considered and declined by the Principal</w:t>
      </w:r>
    </w:p>
    <w:p w14:paraId="5A56F5BC" w14:textId="1D0273C8" w:rsidR="0084020A" w:rsidRDefault="00076F0A" w:rsidP="58660067">
      <w:pPr>
        <w:ind w:left="720" w:hanging="720"/>
      </w:pPr>
      <w:r>
        <w:t>6</w:t>
      </w:r>
      <w:r w:rsidR="299EB19F">
        <w:t>.</w:t>
      </w:r>
      <w:r w:rsidR="299EB19F">
        <w:tab/>
      </w:r>
      <w:r w:rsidR="38E71E14">
        <w:t xml:space="preserve">Any delegated authority to a party outside of BLENNZ is to be done using the External Provider Agreement Form.  External providers contracted to provide Adventure activities (as defined by the Health and Safety at Work (Adventure Activities) Regulations, 2016) must provide registration details.  BLENNZ staff hold ultimate responsibility for the EOTC activity including the </w:t>
      </w:r>
      <w:r w:rsidR="6E61538B">
        <w:t>termination</w:t>
      </w:r>
      <w:r w:rsidR="38E71E14">
        <w:t xml:space="preserve"> of any activity due to safety reasons.</w:t>
      </w:r>
      <w:r w:rsidR="299EB19F">
        <w:tab/>
      </w:r>
    </w:p>
    <w:p w14:paraId="36CB2522" w14:textId="14A0BCEB" w:rsidR="0084020A" w:rsidRDefault="00076F0A" w:rsidP="00AC7CA4">
      <w:pPr>
        <w:ind w:left="720" w:hanging="720"/>
      </w:pPr>
      <w:r>
        <w:t>7</w:t>
      </w:r>
      <w:r w:rsidR="1691FA94">
        <w:t>.</w:t>
      </w:r>
      <w:r w:rsidR="006B5CA9">
        <w:tab/>
      </w:r>
      <w:r w:rsidR="25786FDE">
        <w:t xml:space="preserve">Activities that are to be approved by the Board are to </w:t>
      </w:r>
      <w:r w:rsidR="724714E8">
        <w:t xml:space="preserve">be </w:t>
      </w:r>
      <w:r w:rsidR="5D6E353D">
        <w:t>appraise</w:t>
      </w:r>
      <w:r w:rsidR="0B7F8E29">
        <w:t>d</w:t>
      </w:r>
      <w:r w:rsidR="25786FDE">
        <w:t xml:space="preserve"> by the Princi</w:t>
      </w:r>
      <w:r w:rsidR="0FF156B4">
        <w:t>pal first.  The purpose of this is to ensure that the proposal is:</w:t>
      </w:r>
    </w:p>
    <w:p w14:paraId="00A0EAD1" w14:textId="6CC577F5" w:rsidR="0084020A" w:rsidRDefault="596B7AEF" w:rsidP="43944F29">
      <w:pPr>
        <w:pStyle w:val="ListParagraph"/>
        <w:numPr>
          <w:ilvl w:val="0"/>
          <w:numId w:val="9"/>
        </w:numPr>
        <w:rPr>
          <w:rFonts w:asciiTheme="minorHAnsi" w:eastAsiaTheme="minorEastAsia" w:hAnsiTheme="minorHAnsi"/>
        </w:rPr>
      </w:pPr>
      <w:r>
        <w:t>Complete.</w:t>
      </w:r>
    </w:p>
    <w:p w14:paraId="13F02ED6" w14:textId="2B541262" w:rsidR="0084020A" w:rsidRDefault="0FF156B4" w:rsidP="0023787F">
      <w:pPr>
        <w:pStyle w:val="ListParagraph"/>
        <w:numPr>
          <w:ilvl w:val="0"/>
          <w:numId w:val="9"/>
        </w:numPr>
      </w:pPr>
      <w:r>
        <w:t xml:space="preserve">Meets the expectation of the </w:t>
      </w:r>
      <w:r w:rsidR="4B2B44E3">
        <w:t>school</w:t>
      </w:r>
      <w:r>
        <w:t>; and</w:t>
      </w:r>
    </w:p>
    <w:p w14:paraId="67FB5824" w14:textId="2C2CFB67" w:rsidR="0084020A" w:rsidRDefault="0FF156B4" w:rsidP="43944F29">
      <w:pPr>
        <w:pStyle w:val="ListParagraph"/>
        <w:numPr>
          <w:ilvl w:val="0"/>
          <w:numId w:val="9"/>
        </w:numPr>
      </w:pPr>
      <w:r>
        <w:t>Has the Principal’s consideration record</w:t>
      </w:r>
      <w:r w:rsidR="4E963BE5">
        <w:t>ed before the Board Chairperson receives it.</w:t>
      </w:r>
    </w:p>
    <w:p w14:paraId="76E42B6C" w14:textId="787A3E8A" w:rsidR="0084020A" w:rsidRDefault="00076F0A" w:rsidP="00AC7CA4">
      <w:pPr>
        <w:ind w:left="720" w:hanging="720"/>
      </w:pPr>
      <w:r>
        <w:t>8</w:t>
      </w:r>
      <w:r w:rsidR="5A105537">
        <w:t>.</w:t>
      </w:r>
      <w:r w:rsidR="006B5CA9">
        <w:tab/>
      </w:r>
      <w:r w:rsidR="5A105537">
        <w:t xml:space="preserve">The Board of Trustees Chairperson has the delegated authority of the Board to consider and approve EOTC activities which require the Board’s approval. Noting that this consideration can </w:t>
      </w:r>
      <w:r w:rsidR="352994D0">
        <w:t>include.</w:t>
      </w:r>
    </w:p>
    <w:p w14:paraId="460951D5" w14:textId="289354F0" w:rsidR="0084020A" w:rsidRDefault="7D7B4899" w:rsidP="43944F29">
      <w:pPr>
        <w:pStyle w:val="ListParagraph"/>
        <w:numPr>
          <w:ilvl w:val="0"/>
          <w:numId w:val="8"/>
        </w:numPr>
        <w:rPr>
          <w:rFonts w:asciiTheme="minorHAnsi" w:eastAsiaTheme="minorEastAsia" w:hAnsiTheme="minorHAnsi"/>
        </w:rPr>
      </w:pPr>
      <w:r w:rsidRPr="43944F29">
        <w:rPr>
          <w:rFonts w:eastAsia="Calibri"/>
        </w:rPr>
        <w:t>Seeking further information,</w:t>
      </w:r>
    </w:p>
    <w:p w14:paraId="5F302F01" w14:textId="0C9E114B" w:rsidR="0084020A" w:rsidRDefault="7D7B4899" w:rsidP="0023787F">
      <w:pPr>
        <w:pStyle w:val="ListParagraph"/>
        <w:numPr>
          <w:ilvl w:val="0"/>
          <w:numId w:val="8"/>
        </w:numPr>
      </w:pPr>
      <w:r w:rsidRPr="43944F29">
        <w:rPr>
          <w:rFonts w:eastAsia="Calibri"/>
        </w:rPr>
        <w:t>Approval in principle only, based on a condition or caveat that needs to be met before full approval will be considered and/or given.</w:t>
      </w:r>
    </w:p>
    <w:p w14:paraId="0BE64849" w14:textId="795F5F5F" w:rsidR="0084020A" w:rsidRDefault="7D7B4899" w:rsidP="0023787F">
      <w:pPr>
        <w:pStyle w:val="ListParagraph"/>
        <w:numPr>
          <w:ilvl w:val="0"/>
          <w:numId w:val="8"/>
        </w:numPr>
      </w:pPr>
      <w:r w:rsidRPr="43944F29">
        <w:rPr>
          <w:rFonts w:eastAsia="Calibri"/>
        </w:rPr>
        <w:t>Approval in full, this being the only approval which enables the ac</w:t>
      </w:r>
      <w:r w:rsidR="7AD87E69" w:rsidRPr="43944F29">
        <w:rPr>
          <w:rFonts w:eastAsia="Calibri"/>
        </w:rPr>
        <w:t>t</w:t>
      </w:r>
      <w:r w:rsidRPr="43944F29">
        <w:rPr>
          <w:rFonts w:eastAsia="Calibri"/>
        </w:rPr>
        <w:t>ivity to proceed.</w:t>
      </w:r>
    </w:p>
    <w:p w14:paraId="16FBFA2C" w14:textId="5E15BF8C" w:rsidR="0084020A" w:rsidRDefault="00076F0A" w:rsidP="00AC7CA4">
      <w:pPr>
        <w:ind w:left="720" w:hanging="720"/>
      </w:pPr>
      <w:r>
        <w:t>9</w:t>
      </w:r>
      <w:r w:rsidR="726FF7F1">
        <w:t>.</w:t>
      </w:r>
      <w:r w:rsidR="113E449B">
        <w:tab/>
      </w:r>
      <w:r w:rsidR="2C0553BE">
        <w:t>The Board Chairperson can forward any EOTC application that requires Board</w:t>
      </w:r>
      <w:r w:rsidR="34B08022">
        <w:t xml:space="preserve"> approval to a meeting of the Board for their guidance, or for the Board itself to consider a </w:t>
      </w:r>
      <w:r w:rsidR="22BFC96E">
        <w:t>specific</w:t>
      </w:r>
      <w:r w:rsidR="34B08022">
        <w:t xml:space="preserve"> EOTC application.</w:t>
      </w:r>
    </w:p>
    <w:p w14:paraId="03B7CEC4" w14:textId="75E9E59E" w:rsidR="006B5CA9" w:rsidRDefault="00076F0A" w:rsidP="43944F29">
      <w:pPr>
        <w:ind w:left="720" w:hanging="720"/>
        <w:rPr>
          <w:rFonts w:eastAsia="Calibri"/>
          <w:szCs w:val="24"/>
        </w:rPr>
      </w:pPr>
      <w:r>
        <w:t>10</w:t>
      </w:r>
      <w:r w:rsidR="006B5CA9">
        <w:t>.</w:t>
      </w:r>
      <w:r w:rsidR="006B5CA9">
        <w:tab/>
        <w:t>Any serious misadventure or behaviour that occurs during an EOTC event must be immediately reported to the appropriate Senior Manager or Principal if the Senior Manager is unavailable.</w:t>
      </w:r>
      <w:r w:rsidR="006B4694">
        <w:t xml:space="preserve"> </w:t>
      </w:r>
      <w:r w:rsidR="00834F7F">
        <w:t>Notification of circumstances of accident or serious harm w</w:t>
      </w:r>
      <w:r w:rsidR="006B5CA9">
        <w:t>ill be recorded in the Accident</w:t>
      </w:r>
      <w:r w:rsidR="00834F7F">
        <w:t>/Incident</w:t>
      </w:r>
      <w:r w:rsidR="006B5CA9">
        <w:t xml:space="preserve"> Register and will be analysed for trends which may indicate unsafe practices requiring changes in policy or operational procedures on an annual basis. This will occur through the BLENNZ Health and Safety Committee.</w:t>
      </w:r>
    </w:p>
    <w:p w14:paraId="61D0B0B7" w14:textId="02274EAB" w:rsidR="0084020A" w:rsidRDefault="00076F0A" w:rsidP="00AC7CA4">
      <w:pPr>
        <w:ind w:left="720" w:hanging="720"/>
      </w:pPr>
      <w:r>
        <w:t>11</w:t>
      </w:r>
      <w:r w:rsidR="0084020A">
        <w:t>.</w:t>
      </w:r>
      <w:r w:rsidR="006B5CA9">
        <w:tab/>
      </w:r>
      <w:r w:rsidR="0084020A">
        <w:t>A post EOTC review/debrief including a review against the RAMS will be undertaken at an agreed time at the conclusion of high risk EOTC outings.</w:t>
      </w:r>
      <w:r w:rsidR="006B5CA9">
        <w:tab/>
      </w:r>
      <w:r w:rsidR="009F5274">
        <w:t>This report will be forwarded to the appropriate Senior Manager and then to the Board of Trustees (through the Principal).</w:t>
      </w:r>
      <w:r w:rsidR="22AD3101">
        <w:t xml:space="preserve">  The Principal will provide report to the Board </w:t>
      </w:r>
      <w:r w:rsidR="57EE8724">
        <w:t xml:space="preserve">at each board meeting </w:t>
      </w:r>
      <w:r w:rsidR="22AD3101">
        <w:t xml:space="preserve">of all </w:t>
      </w:r>
      <w:r w:rsidR="17AFCF24">
        <w:t xml:space="preserve">High Risk </w:t>
      </w:r>
      <w:r w:rsidR="22AD3101">
        <w:t>EOTC activities.</w:t>
      </w:r>
    </w:p>
    <w:p w14:paraId="247DB1DC" w14:textId="33D4C03F" w:rsidR="6FBE1A04" w:rsidRDefault="00076F0A" w:rsidP="58660067">
      <w:pPr>
        <w:ind w:left="720" w:hanging="720"/>
      </w:pPr>
      <w:r>
        <w:t>12</w:t>
      </w:r>
      <w:r w:rsidR="6FBE1A04">
        <w:t>.</w:t>
      </w:r>
      <w:r w:rsidR="6FBE1A04">
        <w:tab/>
        <w:t>This policy should be read in conjunction with the MOE EOTC Guid</w:t>
      </w:r>
      <w:r w:rsidR="5149C076">
        <w:t>elines and other official requirements.</w:t>
      </w:r>
    </w:p>
    <w:p w14:paraId="3395403C" w14:textId="3686FE0F" w:rsidR="00076F0A" w:rsidRDefault="00076F0A">
      <w:r>
        <w:br w:type="page"/>
      </w:r>
    </w:p>
    <w:p w14:paraId="73CD4D14" w14:textId="77777777" w:rsidR="58660067" w:rsidRDefault="58660067" w:rsidP="58660067">
      <w:pPr>
        <w:ind w:left="720" w:hanging="720"/>
      </w:pPr>
    </w:p>
    <w:p w14:paraId="2859FD5E" w14:textId="77777777" w:rsidR="00AC7CA4" w:rsidRDefault="00AC7CA4" w:rsidP="0023787F">
      <w:pPr>
        <w:pStyle w:val="Heading2"/>
      </w:pPr>
      <w:r>
        <w:t>Supporting Documents:</w:t>
      </w:r>
    </w:p>
    <w:p w14:paraId="7217FFD2" w14:textId="77777777" w:rsidR="004068DB" w:rsidRDefault="006F3CD3">
      <w:hyperlink r:id="rId10" w:history="1">
        <w:r w:rsidR="004068DB" w:rsidRPr="004068DB">
          <w:rPr>
            <w:rStyle w:val="Hyperlink"/>
          </w:rPr>
          <w:t>Link to MOE website - EOTC Guidelines</w:t>
        </w:r>
      </w:hyperlink>
    </w:p>
    <w:p w14:paraId="78435021" w14:textId="77777777" w:rsidR="00700D08" w:rsidRDefault="006F3CD3">
      <w:hyperlink r:id="rId11" w:history="1">
        <w:r w:rsidR="00700D08" w:rsidRPr="00700D08">
          <w:rPr>
            <w:rStyle w:val="Hyperlink"/>
          </w:rPr>
          <w:t>Link to Government Legislation Website-Vulnerable Children's Act</w:t>
        </w:r>
      </w:hyperlink>
    </w:p>
    <w:p w14:paraId="30F7CEDC" w14:textId="77777777" w:rsidR="007A0280" w:rsidRDefault="006F3CD3">
      <w:pPr>
        <w:rPr>
          <w:rStyle w:val="Hyperlink"/>
        </w:rPr>
      </w:pPr>
      <w:hyperlink r:id="rId12" w:history="1">
        <w:r w:rsidR="00700D08" w:rsidRPr="00700D08">
          <w:rPr>
            <w:rStyle w:val="Hyperlink"/>
          </w:rPr>
          <w:t>Link to Government Legislation - Health and Safety at Work Act</w:t>
        </w:r>
      </w:hyperlink>
    </w:p>
    <w:p w14:paraId="36157824" w14:textId="4BDC87DC" w:rsidR="00BA2F0A" w:rsidRDefault="006F3CD3" w:rsidP="00E5450D">
      <w:pPr>
        <w:rPr>
          <w:rStyle w:val="Hyperlink"/>
          <w:szCs w:val="24"/>
          <w:lang w:val="en-US"/>
        </w:rPr>
      </w:pPr>
      <w:hyperlink r:id="rId13" w:history="1">
        <w:r w:rsidR="00E5450D">
          <w:rPr>
            <w:rStyle w:val="Hyperlink"/>
            <w:szCs w:val="24"/>
            <w:lang w:val="en-US"/>
          </w:rPr>
          <w:t>Link to MOE Guidelines - Early Childhood EOTC Ratios</w:t>
        </w:r>
      </w:hyperlink>
    </w:p>
    <w:p w14:paraId="13D8DF6A" w14:textId="16674025" w:rsidR="00575A07" w:rsidRDefault="006F3CD3" w:rsidP="00E5450D">
      <w:pPr>
        <w:rPr>
          <w:rStyle w:val="Hyperlink"/>
          <w:szCs w:val="24"/>
          <w:lang w:val="en-US"/>
        </w:rPr>
      </w:pPr>
      <w:hyperlink r:id="rId14">
        <w:r w:rsidR="00E3070C" w:rsidRPr="4C87A26C">
          <w:rPr>
            <w:rStyle w:val="Hyperlink"/>
            <w:lang w:val="en-US"/>
          </w:rPr>
          <w:t>Link to Specialist Services Standards 2015</w:t>
        </w:r>
      </w:hyperlink>
    </w:p>
    <w:p w14:paraId="0C4A1DB5" w14:textId="1552FB9B" w:rsidR="3C0AA465" w:rsidRDefault="3C0AA465" w:rsidP="4C87A26C">
      <w:pPr>
        <w:rPr>
          <w:rStyle w:val="Hyperlink"/>
          <w:color w:val="auto"/>
          <w:u w:val="none"/>
          <w:lang w:val="pt-BR"/>
        </w:rPr>
      </w:pPr>
      <w:r w:rsidRPr="4C87A26C">
        <w:rPr>
          <w:rStyle w:val="Hyperlink"/>
          <w:color w:val="auto"/>
          <w:u w:val="none"/>
          <w:lang w:val="pt-BR"/>
        </w:rPr>
        <w:t>BLENNZ Safety Management Plan</w:t>
      </w:r>
    </w:p>
    <w:p w14:paraId="225EE628" w14:textId="21EF2D84" w:rsidR="00E3070C" w:rsidRDefault="00406AA5" w:rsidP="00E5450D">
      <w:pPr>
        <w:rPr>
          <w:rStyle w:val="Hyperlink"/>
          <w:color w:val="auto"/>
          <w:szCs w:val="24"/>
          <w:u w:val="none"/>
          <w:lang w:val="pt-BR"/>
        </w:rPr>
      </w:pPr>
      <w:r>
        <w:rPr>
          <w:rStyle w:val="Hyperlink"/>
          <w:color w:val="auto"/>
          <w:szCs w:val="24"/>
          <w:u w:val="none"/>
          <w:lang w:val="pt-BR"/>
        </w:rPr>
        <w:t xml:space="preserve">DOM </w:t>
      </w:r>
      <w:r w:rsidRPr="00E123AE">
        <w:rPr>
          <w:rStyle w:val="Hyperlink"/>
          <w:color w:val="auto"/>
          <w:szCs w:val="24"/>
          <w:u w:val="none"/>
          <w:lang w:val="pt-BR"/>
        </w:rPr>
        <w:t>Operational Do</w:t>
      </w:r>
      <w:r>
        <w:rPr>
          <w:rStyle w:val="Hyperlink"/>
          <w:color w:val="auto"/>
          <w:szCs w:val="24"/>
          <w:u w:val="none"/>
          <w:lang w:val="pt-BR"/>
        </w:rPr>
        <w:t>cuments:</w:t>
      </w:r>
    </w:p>
    <w:p w14:paraId="619C8FB1" w14:textId="21CB39F9" w:rsidR="00406AA5" w:rsidRDefault="00406AA5" w:rsidP="00406AA5">
      <w:pPr>
        <w:pStyle w:val="ListParagraph"/>
        <w:numPr>
          <w:ilvl w:val="0"/>
          <w:numId w:val="12"/>
        </w:numPr>
        <w:rPr>
          <w:rStyle w:val="Hyperlink"/>
          <w:color w:val="auto"/>
          <w:szCs w:val="24"/>
          <w:u w:val="none"/>
        </w:rPr>
      </w:pPr>
      <w:r w:rsidRPr="00E123AE">
        <w:rPr>
          <w:rStyle w:val="Hyperlink"/>
          <w:color w:val="auto"/>
          <w:szCs w:val="24"/>
          <w:u w:val="none"/>
        </w:rPr>
        <w:t xml:space="preserve">DOM Service </w:t>
      </w:r>
      <w:r w:rsidR="00E123AE">
        <w:rPr>
          <w:rStyle w:val="Hyperlink"/>
          <w:color w:val="auto"/>
          <w:szCs w:val="24"/>
          <w:u w:val="none"/>
        </w:rPr>
        <w:t>P</w:t>
      </w:r>
      <w:r w:rsidRPr="00E123AE">
        <w:rPr>
          <w:rStyle w:val="Hyperlink"/>
          <w:color w:val="auto"/>
          <w:szCs w:val="24"/>
          <w:u w:val="none"/>
        </w:rPr>
        <w:t xml:space="preserve">rofessional </w:t>
      </w:r>
      <w:r w:rsidR="00E123AE">
        <w:rPr>
          <w:rStyle w:val="Hyperlink"/>
          <w:color w:val="auto"/>
          <w:szCs w:val="24"/>
          <w:u w:val="none"/>
        </w:rPr>
        <w:t>P</w:t>
      </w:r>
      <w:r w:rsidRPr="00E123AE">
        <w:rPr>
          <w:rStyle w:val="Hyperlink"/>
          <w:color w:val="auto"/>
          <w:szCs w:val="24"/>
          <w:u w:val="none"/>
        </w:rPr>
        <w:t>ro</w:t>
      </w:r>
      <w:r>
        <w:rPr>
          <w:rStyle w:val="Hyperlink"/>
          <w:color w:val="auto"/>
          <w:szCs w:val="24"/>
          <w:u w:val="none"/>
        </w:rPr>
        <w:t>cess</w:t>
      </w:r>
    </w:p>
    <w:p w14:paraId="51829866" w14:textId="28660F5A" w:rsidR="00406AA5" w:rsidRDefault="00406AA5" w:rsidP="00406AA5">
      <w:pPr>
        <w:pStyle w:val="ListParagraph"/>
        <w:numPr>
          <w:ilvl w:val="0"/>
          <w:numId w:val="12"/>
        </w:numPr>
        <w:rPr>
          <w:rStyle w:val="Hyperlink"/>
          <w:color w:val="auto"/>
          <w:szCs w:val="24"/>
          <w:u w:val="none"/>
        </w:rPr>
      </w:pPr>
      <w:r>
        <w:rPr>
          <w:rStyle w:val="Hyperlink"/>
          <w:color w:val="auto"/>
          <w:szCs w:val="24"/>
          <w:u w:val="none"/>
        </w:rPr>
        <w:t xml:space="preserve">DOM Service </w:t>
      </w:r>
      <w:r w:rsidR="00E123AE">
        <w:rPr>
          <w:rStyle w:val="Hyperlink"/>
          <w:color w:val="auto"/>
          <w:szCs w:val="24"/>
          <w:u w:val="none"/>
        </w:rPr>
        <w:t>R</w:t>
      </w:r>
      <w:r>
        <w:rPr>
          <w:rStyle w:val="Hyperlink"/>
          <w:color w:val="auto"/>
          <w:szCs w:val="24"/>
          <w:u w:val="none"/>
        </w:rPr>
        <w:t xml:space="preserve">isk </w:t>
      </w:r>
      <w:r w:rsidR="00E123AE">
        <w:rPr>
          <w:rStyle w:val="Hyperlink"/>
          <w:color w:val="auto"/>
          <w:szCs w:val="24"/>
          <w:u w:val="none"/>
        </w:rPr>
        <w:t>M</w:t>
      </w:r>
      <w:r>
        <w:rPr>
          <w:rStyle w:val="Hyperlink"/>
          <w:color w:val="auto"/>
          <w:szCs w:val="24"/>
          <w:u w:val="none"/>
        </w:rPr>
        <w:t>anagement</w:t>
      </w:r>
      <w:r w:rsidR="00E123AE">
        <w:rPr>
          <w:rStyle w:val="Hyperlink"/>
          <w:color w:val="auto"/>
          <w:szCs w:val="24"/>
          <w:u w:val="none"/>
        </w:rPr>
        <w:t xml:space="preserve"> Policy / Safety Action Plan</w:t>
      </w:r>
    </w:p>
    <w:p w14:paraId="4311B566" w14:textId="48B2B46B" w:rsidR="00406AA5" w:rsidRPr="00E123AE" w:rsidRDefault="00E123AE" w:rsidP="00E5450D">
      <w:pPr>
        <w:rPr>
          <w:rStyle w:val="Hyperlink"/>
          <w:szCs w:val="24"/>
          <w:u w:val="none"/>
        </w:rPr>
      </w:pPr>
      <w:r>
        <w:rPr>
          <w:rStyle w:val="Hyperlink"/>
          <w:szCs w:val="24"/>
          <w:u w:val="none"/>
        </w:rPr>
        <w:t>(The above can be found in group-drive/DOM active docs)</w:t>
      </w:r>
    </w:p>
    <w:p w14:paraId="0D4FEC63" w14:textId="1EA6D82B" w:rsidR="007A0280" w:rsidRDefault="006B4694" w:rsidP="006B4694">
      <w:r>
        <w:t>Approved:</w:t>
      </w:r>
      <w:r w:rsidR="00B02ECD">
        <w:t xml:space="preserve"> </w:t>
      </w:r>
      <w:r w:rsidR="00B02ECD">
        <w:rPr>
          <w:noProof/>
          <w:lang w:eastAsia="en-NZ"/>
        </w:rPr>
        <w:drawing>
          <wp:inline distT="0" distB="0" distL="0" distR="0" wp14:anchorId="316E2F0E" wp14:editId="3AAA3F1D">
            <wp:extent cx="1362400"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tch Harris-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4787" cy="1021420"/>
                    </a:xfrm>
                    <a:prstGeom prst="rect">
                      <a:avLst/>
                    </a:prstGeom>
                  </pic:spPr>
                </pic:pic>
              </a:graphicData>
            </a:graphic>
          </wp:inline>
        </w:drawing>
      </w:r>
      <w:r w:rsidR="00B02ECD">
        <w:t xml:space="preserve"> (Chairperson)</w:t>
      </w:r>
    </w:p>
    <w:p w14:paraId="53FBE925" w14:textId="435507E4" w:rsidR="006B4694" w:rsidRDefault="006B4694" w:rsidP="006B4694">
      <w:r>
        <w:t>Date:</w:t>
      </w:r>
      <w:r w:rsidR="00B02ECD">
        <w:t xml:space="preserve"> 25 February 2022</w:t>
      </w:r>
    </w:p>
    <w:p w14:paraId="1CA40AA4" w14:textId="522552C0" w:rsidR="006B4694" w:rsidRPr="009F5274" w:rsidRDefault="006B4694" w:rsidP="006B4694">
      <w:r>
        <w:t>Next Review:</w:t>
      </w:r>
      <w:r>
        <w:tab/>
        <w:t xml:space="preserve"> 2024</w:t>
      </w:r>
      <w:bookmarkStart w:id="0" w:name="_GoBack"/>
      <w:bookmarkEnd w:id="0"/>
    </w:p>
    <w:sectPr w:rsidR="006B4694" w:rsidRPr="009F5274" w:rsidSect="00BB2031">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B2C7" w14:textId="77777777" w:rsidR="006F3992" w:rsidRDefault="006F3992" w:rsidP="00797FB8">
      <w:pPr>
        <w:spacing w:after="0" w:line="240" w:lineRule="auto"/>
      </w:pPr>
      <w:r>
        <w:separator/>
      </w:r>
    </w:p>
  </w:endnote>
  <w:endnote w:type="continuationSeparator" w:id="0">
    <w:p w14:paraId="2F181EEB" w14:textId="77777777" w:rsidR="006F3992" w:rsidRDefault="006F3992" w:rsidP="00797FB8">
      <w:pPr>
        <w:spacing w:after="0" w:line="240" w:lineRule="auto"/>
      </w:pPr>
      <w:r>
        <w:continuationSeparator/>
      </w:r>
    </w:p>
  </w:endnote>
  <w:endnote w:type="continuationNotice" w:id="1">
    <w:p w14:paraId="48A51E99" w14:textId="77777777" w:rsidR="006F3992" w:rsidRDefault="006F3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277B" w14:textId="4886E051" w:rsidR="00797FB8" w:rsidRDefault="00406AA5">
    <w:pPr>
      <w:pStyle w:val="Footer"/>
      <w:rPr>
        <w:b/>
        <w:bCs/>
      </w:rPr>
    </w:pPr>
    <w:r>
      <w:t>BPN5</w:t>
    </w:r>
    <w:r w:rsidR="006B4694">
      <w:t>-03 202</w:t>
    </w:r>
    <w:r w:rsidR="00EB038D">
      <w:t>2</w:t>
    </w:r>
    <w:r w:rsidR="006B4694">
      <w:t xml:space="preserve"> Education Outside the Classroom </w:t>
    </w:r>
    <w:r w:rsidR="00652FBF">
      <w:t>Policy</w:t>
    </w:r>
    <w:r w:rsidR="00652FBF">
      <w:tab/>
      <w:t xml:space="preserve">Page </w:t>
    </w:r>
    <w:r w:rsidR="00652FBF">
      <w:rPr>
        <w:b/>
        <w:bCs/>
      </w:rPr>
      <w:fldChar w:fldCharType="begin"/>
    </w:r>
    <w:r w:rsidR="00652FBF">
      <w:rPr>
        <w:b/>
        <w:bCs/>
      </w:rPr>
      <w:instrText xml:space="preserve"> PAGE  \* Arabic  \* MERGEFORMAT </w:instrText>
    </w:r>
    <w:r w:rsidR="00652FBF">
      <w:rPr>
        <w:b/>
        <w:bCs/>
      </w:rPr>
      <w:fldChar w:fldCharType="separate"/>
    </w:r>
    <w:r w:rsidR="006F3CD3">
      <w:rPr>
        <w:b/>
        <w:bCs/>
        <w:noProof/>
      </w:rPr>
      <w:t>4</w:t>
    </w:r>
    <w:r w:rsidR="00652FBF">
      <w:rPr>
        <w:b/>
        <w:bCs/>
      </w:rPr>
      <w:fldChar w:fldCharType="end"/>
    </w:r>
    <w:r w:rsidR="00652FBF">
      <w:t xml:space="preserve"> of </w:t>
    </w:r>
    <w:r w:rsidR="00652FBF">
      <w:rPr>
        <w:b/>
        <w:bCs/>
      </w:rPr>
      <w:fldChar w:fldCharType="begin"/>
    </w:r>
    <w:r w:rsidR="00652FBF">
      <w:rPr>
        <w:b/>
        <w:bCs/>
      </w:rPr>
      <w:instrText xml:space="preserve"> NUMPAGES  \* Arabic  \* MERGEFORMAT </w:instrText>
    </w:r>
    <w:r w:rsidR="00652FBF">
      <w:rPr>
        <w:b/>
        <w:bCs/>
      </w:rPr>
      <w:fldChar w:fldCharType="separate"/>
    </w:r>
    <w:r w:rsidR="006F3CD3">
      <w:rPr>
        <w:b/>
        <w:bCs/>
        <w:noProof/>
      </w:rPr>
      <w:t>4</w:t>
    </w:r>
    <w:r w:rsidR="00652FBF">
      <w:rPr>
        <w:b/>
        <w:bCs/>
      </w:rPr>
      <w:fldChar w:fldCharType="end"/>
    </w:r>
  </w:p>
  <w:p w14:paraId="3B4C09BD" w14:textId="1AC87A9A" w:rsidR="00652FBF" w:rsidRPr="00652FBF" w:rsidRDefault="00EB038D">
    <w:pPr>
      <w:pStyle w:val="Footer"/>
    </w:pPr>
    <w:r>
      <w:rPr>
        <w:bCs/>
      </w:rPr>
      <w:t>February 2022</w:t>
    </w:r>
  </w:p>
  <w:p w14:paraId="72A3D3EC" w14:textId="77777777" w:rsidR="00797FB8" w:rsidRDefault="0079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F468B" w14:textId="77777777" w:rsidR="006F3992" w:rsidRDefault="006F3992" w:rsidP="00797FB8">
      <w:pPr>
        <w:spacing w:after="0" w:line="240" w:lineRule="auto"/>
      </w:pPr>
      <w:r>
        <w:separator/>
      </w:r>
    </w:p>
  </w:footnote>
  <w:footnote w:type="continuationSeparator" w:id="0">
    <w:p w14:paraId="494FBFC0" w14:textId="77777777" w:rsidR="006F3992" w:rsidRDefault="006F3992" w:rsidP="00797FB8">
      <w:pPr>
        <w:spacing w:after="0" w:line="240" w:lineRule="auto"/>
      </w:pPr>
      <w:r>
        <w:continuationSeparator/>
      </w:r>
    </w:p>
  </w:footnote>
  <w:footnote w:type="continuationNotice" w:id="1">
    <w:p w14:paraId="179BCB1C" w14:textId="77777777" w:rsidR="006F3992" w:rsidRDefault="006F3992">
      <w:pPr>
        <w:spacing w:after="0" w:line="240" w:lineRule="auto"/>
      </w:pPr>
    </w:p>
  </w:footnote>
</w:footnotes>
</file>

<file path=word/intelligence.xml><?xml version="1.0" encoding="utf-8"?>
<int:Intelligence xmlns:int="http://schemas.microsoft.com/office/intelligence/2019/intelligence">
  <int:IntelligenceSettings/>
  <int:Manifest>
    <int:WordHash hashCode="bHgPz7W1BXMqD7" id="d40oWdIz"/>
    <int:WordHash hashCode="D4ZBHaGVt3MmZI" id="ZMKfPHxm"/>
    <int:WordHash hashCode="ni8UUdXdlt6RIo" id="1DEoR+pr"/>
    <int:WordHash hashCode="sjY9llwW+D+zC9" id="zRWiXVe5"/>
    <int:WordHash hashCode="ufdrFdd5ekaG2X" id="R8U0LuxI"/>
  </int:Manifest>
  <int:Observations>
    <int:Content id="d40oWdIz">
      <int:Rejection type="LegacyProofing"/>
    </int:Content>
    <int:Content id="ZMKfPHxm">
      <int:Rejection type="LegacyProofing"/>
    </int:Content>
    <int:Content id="1DEoR+pr">
      <int:Rejection type="LegacyProofing"/>
    </int:Content>
    <int:Content id="zRWiXVe5">
      <int:Rejection type="LegacyProofing"/>
    </int:Content>
    <int:Content id="R8U0Lux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474B"/>
    <w:multiLevelType w:val="hybridMultilevel"/>
    <w:tmpl w:val="818E857A"/>
    <w:lvl w:ilvl="0" w:tplc="3432BA5E">
      <w:start w:val="1"/>
      <w:numFmt w:val="lowerLetter"/>
      <w:lvlText w:val="%1."/>
      <w:lvlJc w:val="left"/>
      <w:pPr>
        <w:ind w:left="720" w:hanging="360"/>
      </w:pPr>
    </w:lvl>
    <w:lvl w:ilvl="1" w:tplc="166A3D56">
      <w:start w:val="1"/>
      <w:numFmt w:val="lowerLetter"/>
      <w:lvlText w:val="%2."/>
      <w:lvlJc w:val="left"/>
      <w:pPr>
        <w:ind w:left="1440" w:hanging="360"/>
      </w:pPr>
    </w:lvl>
    <w:lvl w:ilvl="2" w:tplc="809449D2">
      <w:start w:val="1"/>
      <w:numFmt w:val="lowerRoman"/>
      <w:lvlText w:val="%3."/>
      <w:lvlJc w:val="right"/>
      <w:pPr>
        <w:ind w:left="2160" w:hanging="180"/>
      </w:pPr>
    </w:lvl>
    <w:lvl w:ilvl="3" w:tplc="83388DBE">
      <w:start w:val="1"/>
      <w:numFmt w:val="decimal"/>
      <w:lvlText w:val="%4."/>
      <w:lvlJc w:val="left"/>
      <w:pPr>
        <w:ind w:left="2880" w:hanging="360"/>
      </w:pPr>
    </w:lvl>
    <w:lvl w:ilvl="4" w:tplc="39F0F49A">
      <w:start w:val="1"/>
      <w:numFmt w:val="lowerLetter"/>
      <w:lvlText w:val="%5."/>
      <w:lvlJc w:val="left"/>
      <w:pPr>
        <w:ind w:left="3600" w:hanging="360"/>
      </w:pPr>
    </w:lvl>
    <w:lvl w:ilvl="5" w:tplc="40BCFA34">
      <w:start w:val="1"/>
      <w:numFmt w:val="lowerRoman"/>
      <w:lvlText w:val="%6."/>
      <w:lvlJc w:val="right"/>
      <w:pPr>
        <w:ind w:left="4320" w:hanging="180"/>
      </w:pPr>
    </w:lvl>
    <w:lvl w:ilvl="6" w:tplc="68DAD1FA">
      <w:start w:val="1"/>
      <w:numFmt w:val="decimal"/>
      <w:lvlText w:val="%7."/>
      <w:lvlJc w:val="left"/>
      <w:pPr>
        <w:ind w:left="5040" w:hanging="360"/>
      </w:pPr>
    </w:lvl>
    <w:lvl w:ilvl="7" w:tplc="E8FA4788">
      <w:start w:val="1"/>
      <w:numFmt w:val="lowerLetter"/>
      <w:lvlText w:val="%8."/>
      <w:lvlJc w:val="left"/>
      <w:pPr>
        <w:ind w:left="5760" w:hanging="360"/>
      </w:pPr>
    </w:lvl>
    <w:lvl w:ilvl="8" w:tplc="8B62C60E">
      <w:start w:val="1"/>
      <w:numFmt w:val="lowerRoman"/>
      <w:lvlText w:val="%9."/>
      <w:lvlJc w:val="right"/>
      <w:pPr>
        <w:ind w:left="6480" w:hanging="180"/>
      </w:pPr>
    </w:lvl>
  </w:abstractNum>
  <w:abstractNum w:abstractNumId="1" w15:restartNumberingAfterBreak="0">
    <w:nsid w:val="109148DA"/>
    <w:multiLevelType w:val="hybridMultilevel"/>
    <w:tmpl w:val="17A0B22C"/>
    <w:lvl w:ilvl="0" w:tplc="D276AB1A">
      <w:start w:val="1"/>
      <w:numFmt w:val="lowerLetter"/>
      <w:lvlText w:val="%1."/>
      <w:lvlJc w:val="left"/>
      <w:pPr>
        <w:ind w:left="720" w:hanging="360"/>
      </w:pPr>
    </w:lvl>
    <w:lvl w:ilvl="1" w:tplc="7496153C">
      <w:start w:val="1"/>
      <w:numFmt w:val="lowerLetter"/>
      <w:lvlText w:val="%2."/>
      <w:lvlJc w:val="left"/>
      <w:pPr>
        <w:ind w:left="1440" w:hanging="360"/>
      </w:pPr>
    </w:lvl>
    <w:lvl w:ilvl="2" w:tplc="0DA23BCE">
      <w:start w:val="1"/>
      <w:numFmt w:val="lowerRoman"/>
      <w:lvlText w:val="%3."/>
      <w:lvlJc w:val="right"/>
      <w:pPr>
        <w:ind w:left="2160" w:hanging="180"/>
      </w:pPr>
    </w:lvl>
    <w:lvl w:ilvl="3" w:tplc="D4BA8510">
      <w:start w:val="1"/>
      <w:numFmt w:val="decimal"/>
      <w:lvlText w:val="%4."/>
      <w:lvlJc w:val="left"/>
      <w:pPr>
        <w:ind w:left="2880" w:hanging="360"/>
      </w:pPr>
    </w:lvl>
    <w:lvl w:ilvl="4" w:tplc="47645740">
      <w:start w:val="1"/>
      <w:numFmt w:val="lowerLetter"/>
      <w:lvlText w:val="%5."/>
      <w:lvlJc w:val="left"/>
      <w:pPr>
        <w:ind w:left="3600" w:hanging="360"/>
      </w:pPr>
    </w:lvl>
    <w:lvl w:ilvl="5" w:tplc="BC020F1A">
      <w:start w:val="1"/>
      <w:numFmt w:val="lowerRoman"/>
      <w:lvlText w:val="%6."/>
      <w:lvlJc w:val="right"/>
      <w:pPr>
        <w:ind w:left="4320" w:hanging="180"/>
      </w:pPr>
    </w:lvl>
    <w:lvl w:ilvl="6" w:tplc="9E966C04">
      <w:start w:val="1"/>
      <w:numFmt w:val="decimal"/>
      <w:lvlText w:val="%7."/>
      <w:lvlJc w:val="left"/>
      <w:pPr>
        <w:ind w:left="5040" w:hanging="360"/>
      </w:pPr>
    </w:lvl>
    <w:lvl w:ilvl="7" w:tplc="562EBAB8">
      <w:start w:val="1"/>
      <w:numFmt w:val="lowerLetter"/>
      <w:lvlText w:val="%8."/>
      <w:lvlJc w:val="left"/>
      <w:pPr>
        <w:ind w:left="5760" w:hanging="360"/>
      </w:pPr>
    </w:lvl>
    <w:lvl w:ilvl="8" w:tplc="B73C2114">
      <w:start w:val="1"/>
      <w:numFmt w:val="lowerRoman"/>
      <w:lvlText w:val="%9."/>
      <w:lvlJc w:val="right"/>
      <w:pPr>
        <w:ind w:left="6480" w:hanging="180"/>
      </w:pPr>
    </w:lvl>
  </w:abstractNum>
  <w:abstractNum w:abstractNumId="2" w15:restartNumberingAfterBreak="0">
    <w:nsid w:val="146B719A"/>
    <w:multiLevelType w:val="hybridMultilevel"/>
    <w:tmpl w:val="D60E6B94"/>
    <w:lvl w:ilvl="0" w:tplc="86700288">
      <w:start w:val="1"/>
      <w:numFmt w:val="lowerLetter"/>
      <w:lvlText w:val="%1."/>
      <w:lvlJc w:val="left"/>
      <w:pPr>
        <w:ind w:left="720" w:hanging="360"/>
      </w:pPr>
    </w:lvl>
    <w:lvl w:ilvl="1" w:tplc="7BBE83A6">
      <w:start w:val="1"/>
      <w:numFmt w:val="lowerLetter"/>
      <w:lvlText w:val="%2."/>
      <w:lvlJc w:val="left"/>
      <w:pPr>
        <w:ind w:left="1440" w:hanging="360"/>
      </w:pPr>
    </w:lvl>
    <w:lvl w:ilvl="2" w:tplc="E9DA0A0A">
      <w:start w:val="1"/>
      <w:numFmt w:val="lowerRoman"/>
      <w:lvlText w:val="%3."/>
      <w:lvlJc w:val="right"/>
      <w:pPr>
        <w:ind w:left="2160" w:hanging="180"/>
      </w:pPr>
    </w:lvl>
    <w:lvl w:ilvl="3" w:tplc="A454A80A">
      <w:start w:val="1"/>
      <w:numFmt w:val="decimal"/>
      <w:lvlText w:val="%4."/>
      <w:lvlJc w:val="left"/>
      <w:pPr>
        <w:ind w:left="2880" w:hanging="360"/>
      </w:pPr>
    </w:lvl>
    <w:lvl w:ilvl="4" w:tplc="25269B0E">
      <w:start w:val="1"/>
      <w:numFmt w:val="lowerLetter"/>
      <w:lvlText w:val="%5."/>
      <w:lvlJc w:val="left"/>
      <w:pPr>
        <w:ind w:left="3600" w:hanging="360"/>
      </w:pPr>
    </w:lvl>
    <w:lvl w:ilvl="5" w:tplc="E14A7B36">
      <w:start w:val="1"/>
      <w:numFmt w:val="lowerRoman"/>
      <w:lvlText w:val="%6."/>
      <w:lvlJc w:val="right"/>
      <w:pPr>
        <w:ind w:left="4320" w:hanging="180"/>
      </w:pPr>
    </w:lvl>
    <w:lvl w:ilvl="6" w:tplc="48D0E3EA">
      <w:start w:val="1"/>
      <w:numFmt w:val="decimal"/>
      <w:lvlText w:val="%7."/>
      <w:lvlJc w:val="left"/>
      <w:pPr>
        <w:ind w:left="5040" w:hanging="360"/>
      </w:pPr>
    </w:lvl>
    <w:lvl w:ilvl="7" w:tplc="289A29D6">
      <w:start w:val="1"/>
      <w:numFmt w:val="lowerLetter"/>
      <w:lvlText w:val="%8."/>
      <w:lvlJc w:val="left"/>
      <w:pPr>
        <w:ind w:left="5760" w:hanging="360"/>
      </w:pPr>
    </w:lvl>
    <w:lvl w:ilvl="8" w:tplc="47645DCE">
      <w:start w:val="1"/>
      <w:numFmt w:val="lowerRoman"/>
      <w:lvlText w:val="%9."/>
      <w:lvlJc w:val="right"/>
      <w:pPr>
        <w:ind w:left="6480" w:hanging="180"/>
      </w:pPr>
    </w:lvl>
  </w:abstractNum>
  <w:abstractNum w:abstractNumId="3" w15:restartNumberingAfterBreak="0">
    <w:nsid w:val="26F303A0"/>
    <w:multiLevelType w:val="hybridMultilevel"/>
    <w:tmpl w:val="FFFFFFFF"/>
    <w:lvl w:ilvl="0" w:tplc="D26AE970">
      <w:start w:val="1"/>
      <w:numFmt w:val="lowerLetter"/>
      <w:lvlText w:val="%1."/>
      <w:lvlJc w:val="left"/>
      <w:pPr>
        <w:ind w:left="1080" w:hanging="360"/>
      </w:pPr>
    </w:lvl>
    <w:lvl w:ilvl="1" w:tplc="2D8E0970">
      <w:start w:val="1"/>
      <w:numFmt w:val="lowerLetter"/>
      <w:lvlText w:val="%2."/>
      <w:lvlJc w:val="left"/>
      <w:pPr>
        <w:ind w:left="1800" w:hanging="360"/>
      </w:pPr>
    </w:lvl>
    <w:lvl w:ilvl="2" w:tplc="7EDC517E">
      <w:start w:val="1"/>
      <w:numFmt w:val="lowerRoman"/>
      <w:lvlText w:val="%3."/>
      <w:lvlJc w:val="right"/>
      <w:pPr>
        <w:ind w:left="2520" w:hanging="180"/>
      </w:pPr>
    </w:lvl>
    <w:lvl w:ilvl="3" w:tplc="C8BC5948">
      <w:start w:val="1"/>
      <w:numFmt w:val="decimal"/>
      <w:lvlText w:val="%4."/>
      <w:lvlJc w:val="left"/>
      <w:pPr>
        <w:ind w:left="3240" w:hanging="360"/>
      </w:pPr>
    </w:lvl>
    <w:lvl w:ilvl="4" w:tplc="B2B0BD90">
      <w:start w:val="1"/>
      <w:numFmt w:val="lowerLetter"/>
      <w:lvlText w:val="%5."/>
      <w:lvlJc w:val="left"/>
      <w:pPr>
        <w:ind w:left="3960" w:hanging="360"/>
      </w:pPr>
    </w:lvl>
    <w:lvl w:ilvl="5" w:tplc="F898790E">
      <w:start w:val="1"/>
      <w:numFmt w:val="lowerRoman"/>
      <w:lvlText w:val="%6."/>
      <w:lvlJc w:val="right"/>
      <w:pPr>
        <w:ind w:left="4680" w:hanging="180"/>
      </w:pPr>
    </w:lvl>
    <w:lvl w:ilvl="6" w:tplc="A06610E4">
      <w:start w:val="1"/>
      <w:numFmt w:val="decimal"/>
      <w:lvlText w:val="%7."/>
      <w:lvlJc w:val="left"/>
      <w:pPr>
        <w:ind w:left="5400" w:hanging="360"/>
      </w:pPr>
    </w:lvl>
    <w:lvl w:ilvl="7" w:tplc="61625158">
      <w:start w:val="1"/>
      <w:numFmt w:val="lowerLetter"/>
      <w:lvlText w:val="%8."/>
      <w:lvlJc w:val="left"/>
      <w:pPr>
        <w:ind w:left="6120" w:hanging="360"/>
      </w:pPr>
    </w:lvl>
    <w:lvl w:ilvl="8" w:tplc="2E6AE116">
      <w:start w:val="1"/>
      <w:numFmt w:val="lowerRoman"/>
      <w:lvlText w:val="%9."/>
      <w:lvlJc w:val="right"/>
      <w:pPr>
        <w:ind w:left="6840" w:hanging="180"/>
      </w:pPr>
    </w:lvl>
  </w:abstractNum>
  <w:abstractNum w:abstractNumId="4" w15:restartNumberingAfterBreak="0">
    <w:nsid w:val="39C74CE8"/>
    <w:multiLevelType w:val="hybridMultilevel"/>
    <w:tmpl w:val="FFFFFFFF"/>
    <w:lvl w:ilvl="0" w:tplc="597A0376">
      <w:start w:val="1"/>
      <w:numFmt w:val="lowerLetter"/>
      <w:lvlText w:val="%1."/>
      <w:lvlJc w:val="left"/>
      <w:pPr>
        <w:ind w:left="720" w:hanging="360"/>
      </w:pPr>
    </w:lvl>
    <w:lvl w:ilvl="1" w:tplc="40820868">
      <w:start w:val="1"/>
      <w:numFmt w:val="lowerLetter"/>
      <w:lvlText w:val="%2."/>
      <w:lvlJc w:val="left"/>
      <w:pPr>
        <w:ind w:left="1440" w:hanging="360"/>
      </w:pPr>
    </w:lvl>
    <w:lvl w:ilvl="2" w:tplc="D562B88A">
      <w:start w:val="1"/>
      <w:numFmt w:val="lowerRoman"/>
      <w:lvlText w:val="%3."/>
      <w:lvlJc w:val="right"/>
      <w:pPr>
        <w:ind w:left="2160" w:hanging="180"/>
      </w:pPr>
    </w:lvl>
    <w:lvl w:ilvl="3" w:tplc="FE22133C">
      <w:start w:val="1"/>
      <w:numFmt w:val="decimal"/>
      <w:lvlText w:val="%4."/>
      <w:lvlJc w:val="left"/>
      <w:pPr>
        <w:ind w:left="2880" w:hanging="360"/>
      </w:pPr>
    </w:lvl>
    <w:lvl w:ilvl="4" w:tplc="4A1A3EB2">
      <w:start w:val="1"/>
      <w:numFmt w:val="lowerLetter"/>
      <w:lvlText w:val="%5."/>
      <w:lvlJc w:val="left"/>
      <w:pPr>
        <w:ind w:left="3600" w:hanging="360"/>
      </w:pPr>
    </w:lvl>
    <w:lvl w:ilvl="5" w:tplc="B0621336">
      <w:start w:val="1"/>
      <w:numFmt w:val="lowerRoman"/>
      <w:lvlText w:val="%6."/>
      <w:lvlJc w:val="right"/>
      <w:pPr>
        <w:ind w:left="4320" w:hanging="180"/>
      </w:pPr>
    </w:lvl>
    <w:lvl w:ilvl="6" w:tplc="83BE7BC0">
      <w:start w:val="1"/>
      <w:numFmt w:val="decimal"/>
      <w:lvlText w:val="%7."/>
      <w:lvlJc w:val="left"/>
      <w:pPr>
        <w:ind w:left="5040" w:hanging="360"/>
      </w:pPr>
    </w:lvl>
    <w:lvl w:ilvl="7" w:tplc="E19CC8B2">
      <w:start w:val="1"/>
      <w:numFmt w:val="lowerLetter"/>
      <w:lvlText w:val="%8."/>
      <w:lvlJc w:val="left"/>
      <w:pPr>
        <w:ind w:left="5760" w:hanging="360"/>
      </w:pPr>
    </w:lvl>
    <w:lvl w:ilvl="8" w:tplc="D60C4A78">
      <w:start w:val="1"/>
      <w:numFmt w:val="lowerRoman"/>
      <w:lvlText w:val="%9."/>
      <w:lvlJc w:val="right"/>
      <w:pPr>
        <w:ind w:left="6480" w:hanging="180"/>
      </w:pPr>
    </w:lvl>
  </w:abstractNum>
  <w:abstractNum w:abstractNumId="5" w15:restartNumberingAfterBreak="0">
    <w:nsid w:val="3AFA48A6"/>
    <w:multiLevelType w:val="hybridMultilevel"/>
    <w:tmpl w:val="FFFFFFFF"/>
    <w:lvl w:ilvl="0" w:tplc="A38CCA0A">
      <w:start w:val="1"/>
      <w:numFmt w:val="lowerLetter"/>
      <w:lvlText w:val="%1."/>
      <w:lvlJc w:val="left"/>
      <w:pPr>
        <w:ind w:left="720" w:hanging="360"/>
      </w:pPr>
    </w:lvl>
    <w:lvl w:ilvl="1" w:tplc="66B0C5E8">
      <w:start w:val="1"/>
      <w:numFmt w:val="lowerRoman"/>
      <w:lvlText w:val="%2."/>
      <w:lvlJc w:val="right"/>
      <w:pPr>
        <w:ind w:left="1440" w:hanging="360"/>
      </w:pPr>
    </w:lvl>
    <w:lvl w:ilvl="2" w:tplc="F06E60A4">
      <w:start w:val="1"/>
      <w:numFmt w:val="lowerRoman"/>
      <w:lvlText w:val="%3."/>
      <w:lvlJc w:val="right"/>
      <w:pPr>
        <w:ind w:left="2160" w:hanging="180"/>
      </w:pPr>
    </w:lvl>
    <w:lvl w:ilvl="3" w:tplc="EC2E6036">
      <w:start w:val="1"/>
      <w:numFmt w:val="decimal"/>
      <w:lvlText w:val="%4."/>
      <w:lvlJc w:val="left"/>
      <w:pPr>
        <w:ind w:left="2880" w:hanging="360"/>
      </w:pPr>
    </w:lvl>
    <w:lvl w:ilvl="4" w:tplc="5BBCB45E">
      <w:start w:val="1"/>
      <w:numFmt w:val="lowerLetter"/>
      <w:lvlText w:val="%5."/>
      <w:lvlJc w:val="left"/>
      <w:pPr>
        <w:ind w:left="3600" w:hanging="360"/>
      </w:pPr>
    </w:lvl>
    <w:lvl w:ilvl="5" w:tplc="22DA827C">
      <w:start w:val="1"/>
      <w:numFmt w:val="lowerRoman"/>
      <w:lvlText w:val="%6."/>
      <w:lvlJc w:val="right"/>
      <w:pPr>
        <w:ind w:left="4320" w:hanging="180"/>
      </w:pPr>
    </w:lvl>
    <w:lvl w:ilvl="6" w:tplc="35F21100">
      <w:start w:val="1"/>
      <w:numFmt w:val="decimal"/>
      <w:lvlText w:val="%7."/>
      <w:lvlJc w:val="left"/>
      <w:pPr>
        <w:ind w:left="5040" w:hanging="360"/>
      </w:pPr>
    </w:lvl>
    <w:lvl w:ilvl="7" w:tplc="6BAE611C">
      <w:start w:val="1"/>
      <w:numFmt w:val="lowerLetter"/>
      <w:lvlText w:val="%8."/>
      <w:lvlJc w:val="left"/>
      <w:pPr>
        <w:ind w:left="5760" w:hanging="360"/>
      </w:pPr>
    </w:lvl>
    <w:lvl w:ilvl="8" w:tplc="ED8E003C">
      <w:start w:val="1"/>
      <w:numFmt w:val="lowerRoman"/>
      <w:lvlText w:val="%9."/>
      <w:lvlJc w:val="right"/>
      <w:pPr>
        <w:ind w:left="6480" w:hanging="180"/>
      </w:pPr>
    </w:lvl>
  </w:abstractNum>
  <w:abstractNum w:abstractNumId="6" w15:restartNumberingAfterBreak="0">
    <w:nsid w:val="43D21660"/>
    <w:multiLevelType w:val="hybridMultilevel"/>
    <w:tmpl w:val="15FCBA76"/>
    <w:lvl w:ilvl="0" w:tplc="E8C09E04">
      <w:start w:val="1"/>
      <w:numFmt w:val="lowerLetter"/>
      <w:lvlText w:val="%1."/>
      <w:lvlJc w:val="left"/>
      <w:pPr>
        <w:ind w:left="720" w:hanging="360"/>
      </w:pPr>
    </w:lvl>
    <w:lvl w:ilvl="1" w:tplc="6A64F4B4">
      <w:start w:val="1"/>
      <w:numFmt w:val="lowerLetter"/>
      <w:lvlText w:val="%2."/>
      <w:lvlJc w:val="left"/>
      <w:pPr>
        <w:ind w:left="1440" w:hanging="360"/>
      </w:pPr>
    </w:lvl>
    <w:lvl w:ilvl="2" w:tplc="3434FBE8">
      <w:start w:val="1"/>
      <w:numFmt w:val="lowerRoman"/>
      <w:lvlText w:val="%3."/>
      <w:lvlJc w:val="right"/>
      <w:pPr>
        <w:ind w:left="2160" w:hanging="180"/>
      </w:pPr>
    </w:lvl>
    <w:lvl w:ilvl="3" w:tplc="AFC0019C">
      <w:start w:val="1"/>
      <w:numFmt w:val="decimal"/>
      <w:lvlText w:val="%4."/>
      <w:lvlJc w:val="left"/>
      <w:pPr>
        <w:ind w:left="2880" w:hanging="360"/>
      </w:pPr>
    </w:lvl>
    <w:lvl w:ilvl="4" w:tplc="1B1EB0B0">
      <w:start w:val="1"/>
      <w:numFmt w:val="lowerLetter"/>
      <w:lvlText w:val="%5."/>
      <w:lvlJc w:val="left"/>
      <w:pPr>
        <w:ind w:left="3600" w:hanging="360"/>
      </w:pPr>
    </w:lvl>
    <w:lvl w:ilvl="5" w:tplc="DBF62B26">
      <w:start w:val="1"/>
      <w:numFmt w:val="lowerRoman"/>
      <w:lvlText w:val="%6."/>
      <w:lvlJc w:val="right"/>
      <w:pPr>
        <w:ind w:left="4320" w:hanging="180"/>
      </w:pPr>
    </w:lvl>
    <w:lvl w:ilvl="6" w:tplc="BED45C96">
      <w:start w:val="1"/>
      <w:numFmt w:val="decimal"/>
      <w:lvlText w:val="%7."/>
      <w:lvlJc w:val="left"/>
      <w:pPr>
        <w:ind w:left="5040" w:hanging="360"/>
      </w:pPr>
    </w:lvl>
    <w:lvl w:ilvl="7" w:tplc="60284F4E">
      <w:start w:val="1"/>
      <w:numFmt w:val="lowerLetter"/>
      <w:lvlText w:val="%8."/>
      <w:lvlJc w:val="left"/>
      <w:pPr>
        <w:ind w:left="5760" w:hanging="360"/>
      </w:pPr>
    </w:lvl>
    <w:lvl w:ilvl="8" w:tplc="CA2EFCA6">
      <w:start w:val="1"/>
      <w:numFmt w:val="lowerRoman"/>
      <w:lvlText w:val="%9."/>
      <w:lvlJc w:val="right"/>
      <w:pPr>
        <w:ind w:left="6480" w:hanging="180"/>
      </w:pPr>
    </w:lvl>
  </w:abstractNum>
  <w:abstractNum w:abstractNumId="7" w15:restartNumberingAfterBreak="0">
    <w:nsid w:val="5F186811"/>
    <w:multiLevelType w:val="hybridMultilevel"/>
    <w:tmpl w:val="8140F60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D995AB9"/>
    <w:multiLevelType w:val="hybridMultilevel"/>
    <w:tmpl w:val="FFFFFFFF"/>
    <w:lvl w:ilvl="0" w:tplc="631EE506">
      <w:start w:val="1"/>
      <w:numFmt w:val="lowerLetter"/>
      <w:lvlText w:val="%1."/>
      <w:lvlJc w:val="left"/>
      <w:pPr>
        <w:ind w:left="720" w:hanging="360"/>
      </w:pPr>
    </w:lvl>
    <w:lvl w:ilvl="1" w:tplc="CD8AC1F0">
      <w:start w:val="1"/>
      <w:numFmt w:val="lowerLetter"/>
      <w:lvlText w:val="%2."/>
      <w:lvlJc w:val="left"/>
      <w:pPr>
        <w:ind w:left="1440" w:hanging="360"/>
      </w:pPr>
    </w:lvl>
    <w:lvl w:ilvl="2" w:tplc="B830A41C">
      <w:start w:val="1"/>
      <w:numFmt w:val="lowerRoman"/>
      <w:lvlText w:val="%3."/>
      <w:lvlJc w:val="right"/>
      <w:pPr>
        <w:ind w:left="2160" w:hanging="180"/>
      </w:pPr>
    </w:lvl>
    <w:lvl w:ilvl="3" w:tplc="2E1671FA">
      <w:start w:val="1"/>
      <w:numFmt w:val="decimal"/>
      <w:lvlText w:val="%4."/>
      <w:lvlJc w:val="left"/>
      <w:pPr>
        <w:ind w:left="2880" w:hanging="360"/>
      </w:pPr>
    </w:lvl>
    <w:lvl w:ilvl="4" w:tplc="05D652D2">
      <w:start w:val="1"/>
      <w:numFmt w:val="lowerLetter"/>
      <w:lvlText w:val="%5."/>
      <w:lvlJc w:val="left"/>
      <w:pPr>
        <w:ind w:left="3600" w:hanging="360"/>
      </w:pPr>
    </w:lvl>
    <w:lvl w:ilvl="5" w:tplc="D374AEB6">
      <w:start w:val="1"/>
      <w:numFmt w:val="lowerRoman"/>
      <w:lvlText w:val="%6."/>
      <w:lvlJc w:val="right"/>
      <w:pPr>
        <w:ind w:left="4320" w:hanging="180"/>
      </w:pPr>
    </w:lvl>
    <w:lvl w:ilvl="6" w:tplc="080CEEBE">
      <w:start w:val="1"/>
      <w:numFmt w:val="decimal"/>
      <w:lvlText w:val="%7."/>
      <w:lvlJc w:val="left"/>
      <w:pPr>
        <w:ind w:left="5040" w:hanging="360"/>
      </w:pPr>
    </w:lvl>
    <w:lvl w:ilvl="7" w:tplc="A9FCCA52">
      <w:start w:val="1"/>
      <w:numFmt w:val="lowerLetter"/>
      <w:lvlText w:val="%8."/>
      <w:lvlJc w:val="left"/>
      <w:pPr>
        <w:ind w:left="5760" w:hanging="360"/>
      </w:pPr>
    </w:lvl>
    <w:lvl w:ilvl="8" w:tplc="61965312">
      <w:start w:val="1"/>
      <w:numFmt w:val="lowerRoman"/>
      <w:lvlText w:val="%9."/>
      <w:lvlJc w:val="right"/>
      <w:pPr>
        <w:ind w:left="6480" w:hanging="180"/>
      </w:pPr>
    </w:lvl>
  </w:abstractNum>
  <w:abstractNum w:abstractNumId="9" w15:restartNumberingAfterBreak="0">
    <w:nsid w:val="75D071D9"/>
    <w:multiLevelType w:val="hybridMultilevel"/>
    <w:tmpl w:val="FFFFFFFF"/>
    <w:lvl w:ilvl="0" w:tplc="E3FE2702">
      <w:start w:val="1"/>
      <w:numFmt w:val="lowerLetter"/>
      <w:lvlText w:val="%1."/>
      <w:lvlJc w:val="left"/>
      <w:pPr>
        <w:ind w:left="1080" w:hanging="360"/>
      </w:pPr>
    </w:lvl>
    <w:lvl w:ilvl="1" w:tplc="DB0287EA">
      <w:start w:val="1"/>
      <w:numFmt w:val="lowerLetter"/>
      <w:lvlText w:val="%2."/>
      <w:lvlJc w:val="left"/>
      <w:pPr>
        <w:ind w:left="1800" w:hanging="360"/>
      </w:pPr>
    </w:lvl>
    <w:lvl w:ilvl="2" w:tplc="C722F47C">
      <w:start w:val="1"/>
      <w:numFmt w:val="lowerRoman"/>
      <w:lvlText w:val="%3."/>
      <w:lvlJc w:val="right"/>
      <w:pPr>
        <w:ind w:left="2520" w:hanging="180"/>
      </w:pPr>
    </w:lvl>
    <w:lvl w:ilvl="3" w:tplc="D91A41A0">
      <w:start w:val="1"/>
      <w:numFmt w:val="decimal"/>
      <w:lvlText w:val="%4."/>
      <w:lvlJc w:val="left"/>
      <w:pPr>
        <w:ind w:left="3240" w:hanging="360"/>
      </w:pPr>
    </w:lvl>
    <w:lvl w:ilvl="4" w:tplc="20E6A226">
      <w:start w:val="1"/>
      <w:numFmt w:val="lowerLetter"/>
      <w:lvlText w:val="%5."/>
      <w:lvlJc w:val="left"/>
      <w:pPr>
        <w:ind w:left="3960" w:hanging="360"/>
      </w:pPr>
    </w:lvl>
    <w:lvl w:ilvl="5" w:tplc="38FCAB62">
      <w:start w:val="1"/>
      <w:numFmt w:val="lowerRoman"/>
      <w:lvlText w:val="%6."/>
      <w:lvlJc w:val="right"/>
      <w:pPr>
        <w:ind w:left="4680" w:hanging="180"/>
      </w:pPr>
    </w:lvl>
    <w:lvl w:ilvl="6" w:tplc="4F6420EC">
      <w:start w:val="1"/>
      <w:numFmt w:val="decimal"/>
      <w:lvlText w:val="%7."/>
      <w:lvlJc w:val="left"/>
      <w:pPr>
        <w:ind w:left="5400" w:hanging="360"/>
      </w:pPr>
    </w:lvl>
    <w:lvl w:ilvl="7" w:tplc="5AE8DE98">
      <w:start w:val="1"/>
      <w:numFmt w:val="lowerLetter"/>
      <w:lvlText w:val="%8."/>
      <w:lvlJc w:val="left"/>
      <w:pPr>
        <w:ind w:left="6120" w:hanging="360"/>
      </w:pPr>
    </w:lvl>
    <w:lvl w:ilvl="8" w:tplc="059212C6">
      <w:start w:val="1"/>
      <w:numFmt w:val="lowerRoman"/>
      <w:lvlText w:val="%9."/>
      <w:lvlJc w:val="right"/>
      <w:pPr>
        <w:ind w:left="6840" w:hanging="180"/>
      </w:pPr>
    </w:lvl>
  </w:abstractNum>
  <w:abstractNum w:abstractNumId="10" w15:restartNumberingAfterBreak="0">
    <w:nsid w:val="78F9313A"/>
    <w:multiLevelType w:val="hybridMultilevel"/>
    <w:tmpl w:val="819499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DD76506"/>
    <w:multiLevelType w:val="hybridMultilevel"/>
    <w:tmpl w:val="DA36E760"/>
    <w:lvl w:ilvl="0" w:tplc="E9F886A8">
      <w:start w:val="1"/>
      <w:numFmt w:val="lowerLetter"/>
      <w:lvlText w:val="%1."/>
      <w:lvlJc w:val="left"/>
      <w:pPr>
        <w:ind w:left="720" w:hanging="360"/>
      </w:pPr>
    </w:lvl>
    <w:lvl w:ilvl="1" w:tplc="50F4337E">
      <w:start w:val="1"/>
      <w:numFmt w:val="lowerRoman"/>
      <w:lvlText w:val="%2."/>
      <w:lvlJc w:val="right"/>
      <w:pPr>
        <w:ind w:left="1440" w:hanging="360"/>
      </w:pPr>
    </w:lvl>
    <w:lvl w:ilvl="2" w:tplc="E1A8A402">
      <w:start w:val="1"/>
      <w:numFmt w:val="lowerRoman"/>
      <w:lvlText w:val="%3."/>
      <w:lvlJc w:val="right"/>
      <w:pPr>
        <w:ind w:left="2160" w:hanging="180"/>
      </w:pPr>
    </w:lvl>
    <w:lvl w:ilvl="3" w:tplc="90AA6ECC">
      <w:start w:val="1"/>
      <w:numFmt w:val="decimal"/>
      <w:lvlText w:val="%4."/>
      <w:lvlJc w:val="left"/>
      <w:pPr>
        <w:ind w:left="2880" w:hanging="360"/>
      </w:pPr>
    </w:lvl>
    <w:lvl w:ilvl="4" w:tplc="F5764E68">
      <w:start w:val="1"/>
      <w:numFmt w:val="lowerLetter"/>
      <w:lvlText w:val="%5."/>
      <w:lvlJc w:val="left"/>
      <w:pPr>
        <w:ind w:left="3600" w:hanging="360"/>
      </w:pPr>
    </w:lvl>
    <w:lvl w:ilvl="5" w:tplc="83A854E2">
      <w:start w:val="1"/>
      <w:numFmt w:val="lowerRoman"/>
      <w:lvlText w:val="%6."/>
      <w:lvlJc w:val="right"/>
      <w:pPr>
        <w:ind w:left="4320" w:hanging="180"/>
      </w:pPr>
    </w:lvl>
    <w:lvl w:ilvl="6" w:tplc="D0F62D82">
      <w:start w:val="1"/>
      <w:numFmt w:val="decimal"/>
      <w:lvlText w:val="%7."/>
      <w:lvlJc w:val="left"/>
      <w:pPr>
        <w:ind w:left="5040" w:hanging="360"/>
      </w:pPr>
    </w:lvl>
    <w:lvl w:ilvl="7" w:tplc="4F7E09D6">
      <w:start w:val="1"/>
      <w:numFmt w:val="lowerLetter"/>
      <w:lvlText w:val="%8."/>
      <w:lvlJc w:val="left"/>
      <w:pPr>
        <w:ind w:left="5760" w:hanging="360"/>
      </w:pPr>
    </w:lvl>
    <w:lvl w:ilvl="8" w:tplc="B02049C8">
      <w:start w:val="1"/>
      <w:numFmt w:val="lowerRoman"/>
      <w:lvlText w:val="%9."/>
      <w:lvlJc w:val="right"/>
      <w:pPr>
        <w:ind w:left="6480" w:hanging="180"/>
      </w:pPr>
    </w:lvl>
  </w:abstractNum>
  <w:num w:numId="1">
    <w:abstractNumId w:val="1"/>
  </w:num>
  <w:num w:numId="2">
    <w:abstractNumId w:val="6"/>
  </w:num>
  <w:num w:numId="3">
    <w:abstractNumId w:val="2"/>
  </w:num>
  <w:num w:numId="4">
    <w:abstractNumId w:val="11"/>
  </w:num>
  <w:num w:numId="5">
    <w:abstractNumId w:val="0"/>
  </w:num>
  <w:num w:numId="6">
    <w:abstractNumId w:val="7"/>
  </w:num>
  <w:num w:numId="7">
    <w:abstractNumId w:val="8"/>
  </w:num>
  <w:num w:numId="8">
    <w:abstractNumId w:val="3"/>
  </w:num>
  <w:num w:numId="9">
    <w:abstractNumId w:val="9"/>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DB"/>
    <w:rsid w:val="00016B91"/>
    <w:rsid w:val="00063B01"/>
    <w:rsid w:val="00076F0A"/>
    <w:rsid w:val="000D40F2"/>
    <w:rsid w:val="00174AA0"/>
    <w:rsid w:val="0023787F"/>
    <w:rsid w:val="003041AF"/>
    <w:rsid w:val="00361D6E"/>
    <w:rsid w:val="003F0FB9"/>
    <w:rsid w:val="004068DB"/>
    <w:rsid w:val="00406AA5"/>
    <w:rsid w:val="00451146"/>
    <w:rsid w:val="004853CC"/>
    <w:rsid w:val="004C562D"/>
    <w:rsid w:val="00533097"/>
    <w:rsid w:val="005509BC"/>
    <w:rsid w:val="00575411"/>
    <w:rsid w:val="00575A07"/>
    <w:rsid w:val="00652FBF"/>
    <w:rsid w:val="006916C4"/>
    <w:rsid w:val="00691F97"/>
    <w:rsid w:val="006B4694"/>
    <w:rsid w:val="006B5CA9"/>
    <w:rsid w:val="006F3992"/>
    <w:rsid w:val="006F3CD3"/>
    <w:rsid w:val="006F5BAC"/>
    <w:rsid w:val="00700D08"/>
    <w:rsid w:val="00797FB8"/>
    <w:rsid w:val="007A0280"/>
    <w:rsid w:val="007A316E"/>
    <w:rsid w:val="007D6C15"/>
    <w:rsid w:val="008055DC"/>
    <w:rsid w:val="0083175E"/>
    <w:rsid w:val="00834F7F"/>
    <w:rsid w:val="0084020A"/>
    <w:rsid w:val="0085316A"/>
    <w:rsid w:val="008D6CF5"/>
    <w:rsid w:val="00925C42"/>
    <w:rsid w:val="00937F76"/>
    <w:rsid w:val="00983329"/>
    <w:rsid w:val="009C3683"/>
    <w:rsid w:val="009F0D07"/>
    <w:rsid w:val="009F5274"/>
    <w:rsid w:val="00A0232A"/>
    <w:rsid w:val="00A225A8"/>
    <w:rsid w:val="00A234C7"/>
    <w:rsid w:val="00A34AF2"/>
    <w:rsid w:val="00A43AF5"/>
    <w:rsid w:val="00A469BA"/>
    <w:rsid w:val="00A653D7"/>
    <w:rsid w:val="00A85B6C"/>
    <w:rsid w:val="00AA293E"/>
    <w:rsid w:val="00AC7CA4"/>
    <w:rsid w:val="00AD0D67"/>
    <w:rsid w:val="00B02ECD"/>
    <w:rsid w:val="00B65791"/>
    <w:rsid w:val="00BA21DC"/>
    <w:rsid w:val="00BA2F0A"/>
    <w:rsid w:val="00BB2031"/>
    <w:rsid w:val="00BF61C8"/>
    <w:rsid w:val="00C039AB"/>
    <w:rsid w:val="00C13FA5"/>
    <w:rsid w:val="00C63AD4"/>
    <w:rsid w:val="00C941C7"/>
    <w:rsid w:val="00CD5D4F"/>
    <w:rsid w:val="00CF5ECF"/>
    <w:rsid w:val="00D416F2"/>
    <w:rsid w:val="00D90C9B"/>
    <w:rsid w:val="00E123AE"/>
    <w:rsid w:val="00E3070C"/>
    <w:rsid w:val="00E5450D"/>
    <w:rsid w:val="00E72B3B"/>
    <w:rsid w:val="00E9661C"/>
    <w:rsid w:val="00EB038D"/>
    <w:rsid w:val="00EC0050"/>
    <w:rsid w:val="00F814AE"/>
    <w:rsid w:val="0117C301"/>
    <w:rsid w:val="01AF3B3E"/>
    <w:rsid w:val="01DAA32A"/>
    <w:rsid w:val="01E5444E"/>
    <w:rsid w:val="02264B71"/>
    <w:rsid w:val="0276B3A3"/>
    <w:rsid w:val="02914333"/>
    <w:rsid w:val="02927E7A"/>
    <w:rsid w:val="03170694"/>
    <w:rsid w:val="035E936E"/>
    <w:rsid w:val="051FD96D"/>
    <w:rsid w:val="05561F94"/>
    <w:rsid w:val="067F1834"/>
    <w:rsid w:val="077353E4"/>
    <w:rsid w:val="07EE5697"/>
    <w:rsid w:val="08E33B2A"/>
    <w:rsid w:val="08F96AD6"/>
    <w:rsid w:val="099431DF"/>
    <w:rsid w:val="09F63BB2"/>
    <w:rsid w:val="0A41E38C"/>
    <w:rsid w:val="0B7F8E29"/>
    <w:rsid w:val="0BFDFBA5"/>
    <w:rsid w:val="0DA23200"/>
    <w:rsid w:val="0E5B85D8"/>
    <w:rsid w:val="0FF156B4"/>
    <w:rsid w:val="111502F1"/>
    <w:rsid w:val="1129FDD5"/>
    <w:rsid w:val="113E449B"/>
    <w:rsid w:val="1212BE7A"/>
    <w:rsid w:val="1242B154"/>
    <w:rsid w:val="14687A2B"/>
    <w:rsid w:val="1471D30F"/>
    <w:rsid w:val="15F594D3"/>
    <w:rsid w:val="166FE37F"/>
    <w:rsid w:val="1691FA94"/>
    <w:rsid w:val="16B9A255"/>
    <w:rsid w:val="17126D8E"/>
    <w:rsid w:val="17AFCF24"/>
    <w:rsid w:val="18B531F0"/>
    <w:rsid w:val="19869422"/>
    <w:rsid w:val="19DFD56F"/>
    <w:rsid w:val="1ACDCB53"/>
    <w:rsid w:val="1AE7A670"/>
    <w:rsid w:val="1B881B4A"/>
    <w:rsid w:val="1BF026B4"/>
    <w:rsid w:val="1BFE60AD"/>
    <w:rsid w:val="1CE839D7"/>
    <w:rsid w:val="1D238704"/>
    <w:rsid w:val="1D48FCA2"/>
    <w:rsid w:val="1D956F0F"/>
    <w:rsid w:val="1DAD694F"/>
    <w:rsid w:val="1E1CA6CC"/>
    <w:rsid w:val="1F4B3D81"/>
    <w:rsid w:val="1F773351"/>
    <w:rsid w:val="1F834EBC"/>
    <w:rsid w:val="1FF30D86"/>
    <w:rsid w:val="203916BF"/>
    <w:rsid w:val="208E036A"/>
    <w:rsid w:val="21558932"/>
    <w:rsid w:val="2177C6AD"/>
    <w:rsid w:val="2267BA67"/>
    <w:rsid w:val="22A51F1D"/>
    <w:rsid w:val="22AD3101"/>
    <w:rsid w:val="22BFC96E"/>
    <w:rsid w:val="2371008E"/>
    <w:rsid w:val="23DFCB60"/>
    <w:rsid w:val="23F4EE96"/>
    <w:rsid w:val="25786FDE"/>
    <w:rsid w:val="25DBC328"/>
    <w:rsid w:val="262BF18A"/>
    <w:rsid w:val="26C4FC64"/>
    <w:rsid w:val="26F6B51C"/>
    <w:rsid w:val="271A7E8A"/>
    <w:rsid w:val="2770BDE1"/>
    <w:rsid w:val="28FD7C67"/>
    <w:rsid w:val="299EB19F"/>
    <w:rsid w:val="29A32172"/>
    <w:rsid w:val="2AA47180"/>
    <w:rsid w:val="2B09C962"/>
    <w:rsid w:val="2C0553BE"/>
    <w:rsid w:val="2C298320"/>
    <w:rsid w:val="2C2C4B40"/>
    <w:rsid w:val="2C783435"/>
    <w:rsid w:val="2CA6ACD0"/>
    <w:rsid w:val="2D1E19F9"/>
    <w:rsid w:val="2F00FF25"/>
    <w:rsid w:val="3091635E"/>
    <w:rsid w:val="3244AC3B"/>
    <w:rsid w:val="340448FF"/>
    <w:rsid w:val="340E8A43"/>
    <w:rsid w:val="34B08022"/>
    <w:rsid w:val="352994D0"/>
    <w:rsid w:val="352E932A"/>
    <w:rsid w:val="359D5BD4"/>
    <w:rsid w:val="361948E3"/>
    <w:rsid w:val="36A6C086"/>
    <w:rsid w:val="36FB883B"/>
    <w:rsid w:val="37305A53"/>
    <w:rsid w:val="38AAE2FB"/>
    <w:rsid w:val="38E71E14"/>
    <w:rsid w:val="39071BCD"/>
    <w:rsid w:val="396A26A3"/>
    <w:rsid w:val="3979794C"/>
    <w:rsid w:val="39BD414B"/>
    <w:rsid w:val="39E2DE27"/>
    <w:rsid w:val="3AFF15AD"/>
    <w:rsid w:val="3B17F609"/>
    <w:rsid w:val="3B3AA920"/>
    <w:rsid w:val="3C0AA465"/>
    <w:rsid w:val="3D716F65"/>
    <w:rsid w:val="3EF08383"/>
    <w:rsid w:val="3F1F977F"/>
    <w:rsid w:val="3F2553E3"/>
    <w:rsid w:val="3FB79BC0"/>
    <w:rsid w:val="40135A72"/>
    <w:rsid w:val="40C2431C"/>
    <w:rsid w:val="4102B11C"/>
    <w:rsid w:val="4165EFD4"/>
    <w:rsid w:val="41CBD46D"/>
    <w:rsid w:val="41D7CA59"/>
    <w:rsid w:val="427B4281"/>
    <w:rsid w:val="43573186"/>
    <w:rsid w:val="4367A4CE"/>
    <w:rsid w:val="43944F29"/>
    <w:rsid w:val="43F308A2"/>
    <w:rsid w:val="443EBFE6"/>
    <w:rsid w:val="44A1FCDF"/>
    <w:rsid w:val="44B664A2"/>
    <w:rsid w:val="44C9DCB4"/>
    <w:rsid w:val="4579A21D"/>
    <w:rsid w:val="458ED903"/>
    <w:rsid w:val="45D44895"/>
    <w:rsid w:val="46AD94E4"/>
    <w:rsid w:val="47BBEF0F"/>
    <w:rsid w:val="4806C278"/>
    <w:rsid w:val="486B387E"/>
    <w:rsid w:val="4950F483"/>
    <w:rsid w:val="4A20FCAD"/>
    <w:rsid w:val="4A6A37AC"/>
    <w:rsid w:val="4A6D2C09"/>
    <w:rsid w:val="4A82C8F7"/>
    <w:rsid w:val="4B2B44E3"/>
    <w:rsid w:val="4B405B61"/>
    <w:rsid w:val="4B490D96"/>
    <w:rsid w:val="4BCFF224"/>
    <w:rsid w:val="4BE3EB73"/>
    <w:rsid w:val="4BECDFB0"/>
    <w:rsid w:val="4BF11A71"/>
    <w:rsid w:val="4C4A842A"/>
    <w:rsid w:val="4C87A26C"/>
    <w:rsid w:val="4D3C5654"/>
    <w:rsid w:val="4D464B92"/>
    <w:rsid w:val="4E2FB6C8"/>
    <w:rsid w:val="4E6C291E"/>
    <w:rsid w:val="4E963BE5"/>
    <w:rsid w:val="4F2E188C"/>
    <w:rsid w:val="4FFC73C0"/>
    <w:rsid w:val="50385DED"/>
    <w:rsid w:val="508E4E2D"/>
    <w:rsid w:val="50D97930"/>
    <w:rsid w:val="5149C076"/>
    <w:rsid w:val="5167578A"/>
    <w:rsid w:val="52C18EF1"/>
    <w:rsid w:val="530D9880"/>
    <w:rsid w:val="55A38A68"/>
    <w:rsid w:val="55C18B80"/>
    <w:rsid w:val="566B2DB8"/>
    <w:rsid w:val="579003F0"/>
    <w:rsid w:val="57EE8724"/>
    <w:rsid w:val="581F593B"/>
    <w:rsid w:val="58660067"/>
    <w:rsid w:val="58CF542F"/>
    <w:rsid w:val="596B7AEF"/>
    <w:rsid w:val="5A105537"/>
    <w:rsid w:val="5A673319"/>
    <w:rsid w:val="5B40B0CD"/>
    <w:rsid w:val="5B741E69"/>
    <w:rsid w:val="5CD093E0"/>
    <w:rsid w:val="5CF2CA5E"/>
    <w:rsid w:val="5D6E353D"/>
    <w:rsid w:val="5E9296CE"/>
    <w:rsid w:val="6017D142"/>
    <w:rsid w:val="61D0E2B1"/>
    <w:rsid w:val="627244FE"/>
    <w:rsid w:val="62CF355A"/>
    <w:rsid w:val="63354819"/>
    <w:rsid w:val="637F304E"/>
    <w:rsid w:val="63A9CFF0"/>
    <w:rsid w:val="63BE287C"/>
    <w:rsid w:val="6586695B"/>
    <w:rsid w:val="65BC76C5"/>
    <w:rsid w:val="66A48A1F"/>
    <w:rsid w:val="66A71E3D"/>
    <w:rsid w:val="6A6C1C0C"/>
    <w:rsid w:val="6ACE903D"/>
    <w:rsid w:val="6BE7387A"/>
    <w:rsid w:val="6BEB54E1"/>
    <w:rsid w:val="6CFA927E"/>
    <w:rsid w:val="6E61538B"/>
    <w:rsid w:val="6EAB66F4"/>
    <w:rsid w:val="6ECE1A0B"/>
    <w:rsid w:val="6F22F5A3"/>
    <w:rsid w:val="6FBE1A04"/>
    <w:rsid w:val="7094E388"/>
    <w:rsid w:val="70EBA7AB"/>
    <w:rsid w:val="72186D90"/>
    <w:rsid w:val="724714E8"/>
    <w:rsid w:val="726FF7F1"/>
    <w:rsid w:val="73556553"/>
    <w:rsid w:val="73E23E7A"/>
    <w:rsid w:val="73F90266"/>
    <w:rsid w:val="745A3CF6"/>
    <w:rsid w:val="74AD8F8F"/>
    <w:rsid w:val="74E20A5D"/>
    <w:rsid w:val="75D2C869"/>
    <w:rsid w:val="75F01EA3"/>
    <w:rsid w:val="75F60D57"/>
    <w:rsid w:val="767523EA"/>
    <w:rsid w:val="767C864F"/>
    <w:rsid w:val="77765876"/>
    <w:rsid w:val="7791DDB8"/>
    <w:rsid w:val="780F0BD4"/>
    <w:rsid w:val="7829792A"/>
    <w:rsid w:val="790E7DCA"/>
    <w:rsid w:val="7964A68F"/>
    <w:rsid w:val="7AD87E69"/>
    <w:rsid w:val="7C03888E"/>
    <w:rsid w:val="7D4059AB"/>
    <w:rsid w:val="7D7B4899"/>
    <w:rsid w:val="7D95959E"/>
    <w:rsid w:val="7E2F18DD"/>
    <w:rsid w:val="7EE44C4A"/>
    <w:rsid w:val="7FF0F654"/>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E71397"/>
  <w15:chartTrackingRefBased/>
  <w15:docId w15:val="{E538D143-B44F-4332-A03E-B9DCD811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076F0A"/>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23787F"/>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F0A"/>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3787F"/>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character" w:styleId="Hyperlink">
    <w:name w:val="Hyperlink"/>
    <w:basedOn w:val="DefaultParagraphFont"/>
    <w:uiPriority w:val="99"/>
    <w:unhideWhenUsed/>
    <w:rsid w:val="004068DB"/>
    <w:rPr>
      <w:color w:val="0563C1" w:themeColor="hyperlink"/>
      <w:u w:val="single"/>
    </w:rPr>
  </w:style>
  <w:style w:type="character" w:styleId="FollowedHyperlink">
    <w:name w:val="FollowedHyperlink"/>
    <w:basedOn w:val="DefaultParagraphFont"/>
    <w:uiPriority w:val="99"/>
    <w:semiHidden/>
    <w:unhideWhenUsed/>
    <w:rsid w:val="00700D08"/>
    <w:rPr>
      <w:color w:val="954F72" w:themeColor="followedHyperlink"/>
      <w:u w:val="single"/>
    </w:rPr>
  </w:style>
  <w:style w:type="paragraph" w:styleId="ListParagraph">
    <w:name w:val="List Paragraph"/>
    <w:basedOn w:val="Normal"/>
    <w:uiPriority w:val="34"/>
    <w:qFormat/>
    <w:rsid w:val="0083175E"/>
    <w:pPr>
      <w:ind w:left="720"/>
      <w:contextualSpacing/>
    </w:pPr>
  </w:style>
  <w:style w:type="paragraph" w:styleId="Header">
    <w:name w:val="header"/>
    <w:basedOn w:val="Normal"/>
    <w:link w:val="HeaderChar"/>
    <w:uiPriority w:val="99"/>
    <w:unhideWhenUsed/>
    <w:rsid w:val="00797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FB8"/>
    <w:rPr>
      <w:rFonts w:ascii="Arial" w:hAnsi="Arial"/>
      <w:sz w:val="24"/>
    </w:rPr>
  </w:style>
  <w:style w:type="paragraph" w:styleId="Footer">
    <w:name w:val="footer"/>
    <w:basedOn w:val="Normal"/>
    <w:link w:val="FooterChar"/>
    <w:uiPriority w:val="99"/>
    <w:unhideWhenUsed/>
    <w:rsid w:val="00797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FB8"/>
    <w:rPr>
      <w:rFonts w:ascii="Arial" w:hAnsi="Arial"/>
      <w:sz w:val="24"/>
    </w:rPr>
  </w:style>
  <w:style w:type="paragraph" w:styleId="BalloonText">
    <w:name w:val="Balloon Text"/>
    <w:basedOn w:val="Normal"/>
    <w:link w:val="BalloonTextChar"/>
    <w:uiPriority w:val="99"/>
    <w:semiHidden/>
    <w:unhideWhenUsed/>
    <w:rsid w:val="00652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FBF"/>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B4694"/>
    <w:pPr>
      <w:spacing w:after="0" w:line="240" w:lineRule="auto"/>
    </w:pPr>
    <w:rPr>
      <w:rFonts w:ascii="Arial" w:hAnsi="Arial"/>
      <w:sz w:val="24"/>
    </w:rPr>
  </w:style>
  <w:style w:type="paragraph" w:styleId="CommentSubject">
    <w:name w:val="annotation subject"/>
    <w:basedOn w:val="CommentText"/>
    <w:next w:val="CommentText"/>
    <w:link w:val="CommentSubjectChar"/>
    <w:uiPriority w:val="99"/>
    <w:semiHidden/>
    <w:unhideWhenUsed/>
    <w:rsid w:val="00E3070C"/>
    <w:rPr>
      <w:b/>
      <w:bCs/>
    </w:rPr>
  </w:style>
  <w:style w:type="character" w:customStyle="1" w:styleId="CommentSubjectChar">
    <w:name w:val="Comment Subject Char"/>
    <w:basedOn w:val="CommentTextChar"/>
    <w:link w:val="CommentSubject"/>
    <w:uiPriority w:val="99"/>
    <w:semiHidden/>
    <w:rsid w:val="00E3070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1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ece.org.nz/centre-mininum-legal-requirements/129-minimum-adult-child-ratios" TargetMode="External"/><Relationship Id="rId18" Type="http://schemas.openxmlformats.org/officeDocument/2006/relationships/theme" Target="theme/theme1.xml"/><Relationship Id="rId3" Type="http://schemas.openxmlformats.org/officeDocument/2006/relationships/customXml" Target="../customXml/item3.xml"/><Relationship Id="R37f139cd1af14cf4"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hyperlink" Target="http://www.legislation.govt.nz/act/public/2015/0070/latest/DLM5976660.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14/0040/latest/whole.html"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eotc.tki.org.nz/EOTC-home/EOTC-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govt.nz/assets/Documents/School/Supporting-students/Students-with-Special-Needs/ORS/Specialist-Service-Standards-February-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9" ma:contentTypeDescription="Create a new document." ma:contentTypeScope="" ma:versionID="782001150129e2461409761ca07ae04f">
  <xsd:schema xmlns:xsd="http://www.w3.org/2001/XMLSchema" xmlns:xs="http://www.w3.org/2001/XMLSchema" xmlns:p="http://schemas.microsoft.com/office/2006/metadata/properties" xmlns:ns2="806377ac-65e5-4de6-a576-ed9bbd38d598" targetNamespace="http://schemas.microsoft.com/office/2006/metadata/properties" ma:root="true" ma:fieldsID="dbeea00f17604e66169a81bf14a0d02e" ns2:_="">
    <xsd:import namespace="806377ac-65e5-4de6-a576-ed9bbd38d5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B0A3-C0E4-4F25-9104-D00983844748}">
  <ds:schemaRefs>
    <ds:schemaRef ds:uri="http://purl.org/dc/elements/1.1/"/>
    <ds:schemaRef ds:uri="http://schemas.microsoft.com/office/2006/metadata/properties"/>
    <ds:schemaRef ds:uri="806377ac-65e5-4de6-a576-ed9bbd38d598"/>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F162574-FD9D-4210-B73A-F9DBEC2DE3E8}">
  <ds:schemaRefs>
    <ds:schemaRef ds:uri="http://schemas.microsoft.com/sharepoint/v3/contenttype/forms"/>
  </ds:schemaRefs>
</ds:datastoreItem>
</file>

<file path=customXml/itemProps3.xml><?xml version="1.0" encoding="utf-8"?>
<ds:datastoreItem xmlns:ds="http://schemas.openxmlformats.org/officeDocument/2006/customXml" ds:itemID="{DF46E15E-228D-41E7-A908-BB64C9095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Janny Cooke</cp:lastModifiedBy>
  <cp:revision>2</cp:revision>
  <cp:lastPrinted>2021-11-30T00:25:00Z</cp:lastPrinted>
  <dcterms:created xsi:type="dcterms:W3CDTF">2022-02-28T22:01:00Z</dcterms:created>
  <dcterms:modified xsi:type="dcterms:W3CDTF">2022-02-28T22:01:00Z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ies>
</file>