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2439" w:rsidRDefault="00B72439" w:rsidP="00B72439">
      <w:pPr>
        <w:pStyle w:val="Heading1"/>
      </w:pPr>
      <w:r>
        <w:t>Board of Trustees Policy: Principal’s Professional Expenses (NAG 4)</w:t>
      </w:r>
    </w:p>
    <w:p w:rsidR="006E2433" w:rsidRDefault="006E2433" w:rsidP="006E2433">
      <w:pPr>
        <w:pStyle w:val="Heading2"/>
      </w:pPr>
      <w:r>
        <w:t>Blind &amp; Low Vision Education Network NZ</w:t>
      </w:r>
    </w:p>
    <w:p w:rsidR="00B72439" w:rsidRDefault="00B72439" w:rsidP="00B72439"/>
    <w:p w:rsidR="00B72439" w:rsidRDefault="00B72439" w:rsidP="00C70CFC">
      <w:pPr>
        <w:pStyle w:val="Heading2"/>
      </w:pPr>
      <w:r>
        <w:t>Statement of Intent:</w:t>
      </w:r>
    </w:p>
    <w:p w:rsidR="003C6EC1" w:rsidRDefault="00187DD5" w:rsidP="003C6EC1">
      <w:pPr>
        <w:rPr>
          <w:rFonts w:cs="Arial"/>
        </w:rPr>
      </w:pPr>
      <w:r>
        <w:rPr>
          <w:rFonts w:cs="Arial"/>
        </w:rPr>
        <w:t xml:space="preserve">The </w:t>
      </w:r>
      <w:proofErr w:type="gramStart"/>
      <w:r>
        <w:rPr>
          <w:rFonts w:cs="Arial"/>
        </w:rPr>
        <w:t>P</w:t>
      </w:r>
      <w:r w:rsidR="003C6EC1" w:rsidRPr="00780959">
        <w:rPr>
          <w:rFonts w:cs="Arial"/>
        </w:rPr>
        <w:t>rincipal</w:t>
      </w:r>
      <w:proofErr w:type="gramEnd"/>
      <w:r w:rsidR="003C6EC1" w:rsidRPr="00780959">
        <w:rPr>
          <w:rFonts w:cs="Arial"/>
        </w:rPr>
        <w:t xml:space="preserve"> </w:t>
      </w:r>
      <w:r w:rsidR="003C6EC1">
        <w:rPr>
          <w:rFonts w:cs="Arial"/>
        </w:rPr>
        <w:t xml:space="preserve">is the professional leader of </w:t>
      </w:r>
      <w:r>
        <w:rPr>
          <w:rFonts w:cs="Arial"/>
        </w:rPr>
        <w:t>the Blind &amp; Low Vision Education Network NZ (BLENNZ) and the Board’s Chief E</w:t>
      </w:r>
      <w:r w:rsidR="003C6EC1">
        <w:rPr>
          <w:rFonts w:cs="Arial"/>
        </w:rPr>
        <w:t>xecutive w</w:t>
      </w:r>
      <w:r>
        <w:rPr>
          <w:rFonts w:cs="Arial"/>
        </w:rPr>
        <w:t>orking in partnership with the B</w:t>
      </w:r>
      <w:r w:rsidR="003C6EC1">
        <w:rPr>
          <w:rFonts w:cs="Arial"/>
        </w:rPr>
        <w:t xml:space="preserve">oard </w:t>
      </w:r>
      <w:r>
        <w:rPr>
          <w:rFonts w:cs="Arial"/>
        </w:rPr>
        <w:t>of T</w:t>
      </w:r>
      <w:r w:rsidR="003C6EC1">
        <w:rPr>
          <w:rFonts w:cs="Arial"/>
        </w:rPr>
        <w:t xml:space="preserve">rustees. The Board is tasked with ensuring the </w:t>
      </w:r>
      <w:proofErr w:type="gramStart"/>
      <w:r w:rsidR="003C6EC1">
        <w:rPr>
          <w:rFonts w:cs="Arial"/>
        </w:rPr>
        <w:t>Principal</w:t>
      </w:r>
      <w:proofErr w:type="gramEnd"/>
      <w:r w:rsidR="003C6EC1">
        <w:rPr>
          <w:rFonts w:cs="Arial"/>
        </w:rPr>
        <w:t xml:space="preserve"> is financially supported in terms of professional expenses and professional development. </w:t>
      </w:r>
    </w:p>
    <w:p w:rsidR="00B72439" w:rsidRDefault="003C6EC1" w:rsidP="00B72439">
      <w:r>
        <w:t xml:space="preserve">This support will be achieved through the annual operating budget and does not form part of the </w:t>
      </w:r>
      <w:proofErr w:type="gramStart"/>
      <w:r>
        <w:t>Principal’s</w:t>
      </w:r>
      <w:proofErr w:type="gramEnd"/>
      <w:r>
        <w:t xml:space="preserve"> salary</w:t>
      </w:r>
      <w:r w:rsidR="00455C0C">
        <w:t>.</w:t>
      </w:r>
    </w:p>
    <w:p w:rsidR="003C6EC1" w:rsidRDefault="003C6EC1" w:rsidP="00C70CFC">
      <w:pPr>
        <w:pStyle w:val="Heading2"/>
      </w:pPr>
      <w:r>
        <w:t>Policy Guidelines:</w:t>
      </w:r>
    </w:p>
    <w:p w:rsidR="003C6EC1" w:rsidRDefault="003C6EC1" w:rsidP="004A3968">
      <w:pPr>
        <w:ind w:left="720" w:hanging="720"/>
      </w:pPr>
      <w:r>
        <w:t>1.</w:t>
      </w:r>
      <w:r>
        <w:tab/>
        <w:t>A budget for professional expenses and for professional development</w:t>
      </w:r>
      <w:r w:rsidR="00C70CFC">
        <w:t>, including attendance at appropriate New Zealand based conferences,</w:t>
      </w:r>
      <w:r>
        <w:t xml:space="preserve"> will be established annually in accordance with the </w:t>
      </w:r>
      <w:proofErr w:type="gramStart"/>
      <w:r>
        <w:t>Principal’s</w:t>
      </w:r>
      <w:proofErr w:type="gramEnd"/>
      <w:r>
        <w:t xml:space="preserve"> professional development plan contained in their performance appraisal agreement</w:t>
      </w:r>
      <w:r w:rsidR="004A3968">
        <w:t xml:space="preserve"> and be included in the budget. This will be approved by the Board during the annual budget cycle.</w:t>
      </w:r>
    </w:p>
    <w:p w:rsidR="00187DD5" w:rsidRDefault="00187DD5" w:rsidP="004A3968">
      <w:pPr>
        <w:ind w:left="720" w:hanging="720"/>
      </w:pPr>
      <w:r>
        <w:tab/>
        <w:t xml:space="preserve">Professional development expenses may include but are not confined </w:t>
      </w:r>
      <w:proofErr w:type="gramStart"/>
      <w:r>
        <w:t>to:</w:t>
      </w:r>
      <w:proofErr w:type="gramEnd"/>
      <w:r>
        <w:t xml:space="preserve"> continuing education, books and periodicals, subscriptions to organisations, mentoring and attendance at Australasian based professional conferences.</w:t>
      </w:r>
    </w:p>
    <w:p w:rsidR="004A3968" w:rsidRDefault="004A3968" w:rsidP="004A3968">
      <w:pPr>
        <w:ind w:left="720" w:hanging="720"/>
      </w:pPr>
      <w:r>
        <w:t>2.</w:t>
      </w:r>
      <w:r>
        <w:tab/>
        <w:t xml:space="preserve">Once approved the </w:t>
      </w:r>
      <w:proofErr w:type="gramStart"/>
      <w:r>
        <w:t>Principal</w:t>
      </w:r>
      <w:proofErr w:type="gramEnd"/>
      <w:r>
        <w:t xml:space="preserve"> is authorised to spend within budgeted allocations.</w:t>
      </w:r>
    </w:p>
    <w:p w:rsidR="004A3968" w:rsidRDefault="004A3968" w:rsidP="004A3968">
      <w:pPr>
        <w:ind w:left="720" w:hanging="720"/>
      </w:pPr>
      <w:r>
        <w:t>3.</w:t>
      </w:r>
      <w:r>
        <w:tab/>
        <w:t xml:space="preserve">Overseas trips for professional development </w:t>
      </w:r>
      <w:r w:rsidR="00187DD5">
        <w:t xml:space="preserve">and/or attendance at conferences outside of the Australasian region </w:t>
      </w:r>
      <w:r>
        <w:t xml:space="preserve">will also be incorporated into the annual budget. </w:t>
      </w:r>
      <w:r w:rsidR="00FA20EB">
        <w:t>Confirmation of the budget through BOT Minutes</w:t>
      </w:r>
      <w:r>
        <w:t xml:space="preserve"> </w:t>
      </w:r>
      <w:r w:rsidR="00187DD5">
        <w:t>confirms</w:t>
      </w:r>
      <w:r>
        <w:t xml:space="preserve"> approval for the </w:t>
      </w:r>
      <w:proofErr w:type="gramStart"/>
      <w:r>
        <w:t>Principal</w:t>
      </w:r>
      <w:proofErr w:type="gramEnd"/>
      <w:r>
        <w:t xml:space="preserve"> to undertake the professional development requested without having to seek further approval from the Board.</w:t>
      </w:r>
    </w:p>
    <w:p w:rsidR="003E18B3" w:rsidRDefault="004A3968" w:rsidP="00FA20EB">
      <w:pPr>
        <w:ind w:left="720" w:hanging="720"/>
      </w:pPr>
      <w:r>
        <w:t>4.</w:t>
      </w:r>
      <w:r>
        <w:tab/>
        <w:t xml:space="preserve">The </w:t>
      </w:r>
      <w:proofErr w:type="gramStart"/>
      <w:r>
        <w:t>Principal</w:t>
      </w:r>
      <w:proofErr w:type="gramEnd"/>
      <w:r>
        <w:t xml:space="preserve"> will be required to report back to the Board within one term of any overseas professional development on outcomes of the trip including future strategic directions for the Board to consider</w:t>
      </w:r>
      <w:r w:rsidR="00575FDD">
        <w:t>. A</w:t>
      </w:r>
      <w:r>
        <w:t xml:space="preserve"> financial br</w:t>
      </w:r>
      <w:r w:rsidR="00575FDD">
        <w:t xml:space="preserve">eakdown of expenditure incurred will be </w:t>
      </w:r>
      <w:r w:rsidR="00FA20EB">
        <w:t>completed and made available to the Finance Committee upon request.</w:t>
      </w:r>
    </w:p>
    <w:p w:rsidR="004A3968" w:rsidRPr="003C6EC1" w:rsidRDefault="003E18B3" w:rsidP="00FA20EB">
      <w:pPr>
        <w:ind w:left="720" w:hanging="720"/>
      </w:pPr>
      <w:r>
        <w:t>5.</w:t>
      </w:r>
      <w:r>
        <w:tab/>
        <w:t>A summary of expenses will be presented to the Board annually, or as requested.</w:t>
      </w:r>
      <w:r w:rsidR="004A3968">
        <w:tab/>
      </w:r>
    </w:p>
    <w:p w:rsidR="00B72439" w:rsidRDefault="00B72439" w:rsidP="00C70CFC">
      <w:pPr>
        <w:pStyle w:val="Heading2"/>
      </w:pPr>
      <w:r w:rsidRPr="00C70CFC">
        <w:t>Supporting Documents</w:t>
      </w:r>
      <w:r>
        <w:t>:</w:t>
      </w:r>
    </w:p>
    <w:p w:rsidR="00B72439" w:rsidRDefault="00E6738C" w:rsidP="00B72439">
      <w:r>
        <w:t>BLENNZ Strategic and Annual Plans</w:t>
      </w:r>
    </w:p>
    <w:p w:rsidR="00E6738C" w:rsidRDefault="00E6738C" w:rsidP="00B72439">
      <w:r>
        <w:t xml:space="preserve">Principal’s </w:t>
      </w:r>
      <w:r w:rsidR="00334685">
        <w:t>Professional Growth Cycle (Appraisal) Agreement</w:t>
      </w:r>
    </w:p>
    <w:p w:rsidR="006E2433" w:rsidRDefault="00B72439" w:rsidP="00B72439">
      <w:r>
        <w:lastRenderedPageBreak/>
        <w:t>Ratified:</w:t>
      </w:r>
      <w:r w:rsidR="007A6387">
        <w:t xml:space="preserve"> </w:t>
      </w:r>
      <w:r w:rsidR="007A6387">
        <w:rPr>
          <w:noProof/>
        </w:rPr>
        <w:drawing>
          <wp:inline distT="0" distB="0" distL="0" distR="0">
            <wp:extent cx="1248354" cy="1256036"/>
            <wp:effectExtent l="0" t="0" r="9525" b="1270"/>
            <wp:docPr id="924424586" name="Picture 1" descr="Signature: Christopher G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24586" name="Picture 1" descr="Signature: Christopher Gun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8354" cy="1256036"/>
                    </a:xfrm>
                    <a:prstGeom prst="rect">
                      <a:avLst/>
                    </a:prstGeom>
                  </pic:spPr>
                </pic:pic>
              </a:graphicData>
            </a:graphic>
          </wp:inline>
        </w:drawing>
      </w:r>
      <w:r>
        <w:tab/>
      </w:r>
      <w:r>
        <w:tab/>
      </w:r>
      <w:r w:rsidR="007B7E3F">
        <w:tab/>
      </w:r>
      <w:r w:rsidR="007B7E3F">
        <w:tab/>
      </w:r>
    </w:p>
    <w:p w:rsidR="00F279A5" w:rsidRDefault="00B72439" w:rsidP="00B72439">
      <w:r>
        <w:t>Date:</w:t>
      </w:r>
      <w:r>
        <w:tab/>
      </w:r>
      <w:r w:rsidR="007A6387">
        <w:t>5 May 2023</w:t>
      </w:r>
      <w:r w:rsidR="006E2433">
        <w:tab/>
      </w:r>
      <w:r w:rsidR="006E2433">
        <w:tab/>
      </w:r>
    </w:p>
    <w:p w:rsidR="00B72439" w:rsidRPr="00B72439" w:rsidRDefault="00F279A5" w:rsidP="00B72439">
      <w:r>
        <w:t>Next Review: 2026</w:t>
      </w:r>
    </w:p>
    <w:sectPr w:rsidR="00B72439" w:rsidRPr="00B72439" w:rsidSect="00F279A5">
      <w:footerReference w:type="default" r:id="rId11"/>
      <w:pgSz w:w="11906" w:h="16838"/>
      <w:pgMar w:top="397" w:right="1134" w:bottom="3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7E95" w:rsidRDefault="008E7E95" w:rsidP="00B72439">
      <w:pPr>
        <w:spacing w:after="0" w:line="240" w:lineRule="auto"/>
      </w:pPr>
      <w:r>
        <w:separator/>
      </w:r>
    </w:p>
  </w:endnote>
  <w:endnote w:type="continuationSeparator" w:id="0">
    <w:p w:rsidR="008E7E95" w:rsidRDefault="008E7E95" w:rsidP="00B7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2439" w:rsidRDefault="007B7E3F">
    <w:pPr>
      <w:pStyle w:val="Footer"/>
      <w:rPr>
        <w:b/>
        <w:bCs/>
      </w:rPr>
    </w:pPr>
    <w:r>
      <w:t>PN4-</w:t>
    </w:r>
    <w:proofErr w:type="gramStart"/>
    <w:r>
      <w:t xml:space="preserve">7 </w:t>
    </w:r>
    <w:r w:rsidR="00B72439">
      <w:t xml:space="preserve"> </w:t>
    </w:r>
    <w:r w:rsidR="00F279A5">
      <w:t>2023</w:t>
    </w:r>
    <w:proofErr w:type="gramEnd"/>
    <w:r w:rsidR="00F279A5">
      <w:t xml:space="preserve"> </w:t>
    </w:r>
    <w:r w:rsidR="00B72439">
      <w:t>Principal’s Professional Expenses</w:t>
    </w:r>
    <w:r w:rsidR="00B72439">
      <w:tab/>
      <w:t xml:space="preserve">Page </w:t>
    </w:r>
    <w:r w:rsidR="00B72439">
      <w:rPr>
        <w:b/>
        <w:bCs/>
      </w:rPr>
      <w:fldChar w:fldCharType="begin"/>
    </w:r>
    <w:r w:rsidR="00B72439">
      <w:rPr>
        <w:b/>
        <w:bCs/>
      </w:rPr>
      <w:instrText xml:space="preserve"> PAGE  \* Arabic  \* MERGEFORMAT </w:instrText>
    </w:r>
    <w:r w:rsidR="00B72439">
      <w:rPr>
        <w:b/>
        <w:bCs/>
      </w:rPr>
      <w:fldChar w:fldCharType="separate"/>
    </w:r>
    <w:r w:rsidR="008E7E95">
      <w:rPr>
        <w:b/>
        <w:bCs/>
        <w:noProof/>
      </w:rPr>
      <w:t>1</w:t>
    </w:r>
    <w:r w:rsidR="00B72439">
      <w:rPr>
        <w:b/>
        <w:bCs/>
      </w:rPr>
      <w:fldChar w:fldCharType="end"/>
    </w:r>
    <w:r w:rsidR="00B72439">
      <w:t xml:space="preserve"> of </w:t>
    </w:r>
    <w:r w:rsidR="00B72439">
      <w:rPr>
        <w:b/>
        <w:bCs/>
      </w:rPr>
      <w:fldChar w:fldCharType="begin"/>
    </w:r>
    <w:r w:rsidR="00B72439">
      <w:rPr>
        <w:b/>
        <w:bCs/>
      </w:rPr>
      <w:instrText xml:space="preserve"> NUMPAGES  \* Arabic  \* MERGEFORMAT </w:instrText>
    </w:r>
    <w:r w:rsidR="00B72439">
      <w:rPr>
        <w:b/>
        <w:bCs/>
      </w:rPr>
      <w:fldChar w:fldCharType="separate"/>
    </w:r>
    <w:r w:rsidR="008E7E95">
      <w:rPr>
        <w:b/>
        <w:bCs/>
        <w:noProof/>
      </w:rPr>
      <w:t>1</w:t>
    </w:r>
    <w:r w:rsidR="00B72439">
      <w:rPr>
        <w:b/>
        <w:bCs/>
      </w:rPr>
      <w:fldChar w:fldCharType="end"/>
    </w:r>
  </w:p>
  <w:p w:rsidR="00F279A5" w:rsidRPr="00F279A5" w:rsidRDefault="00F279A5">
    <w:pPr>
      <w:pStyle w:val="Footer"/>
      <w:rPr>
        <w:bCs/>
      </w:rPr>
    </w:pPr>
    <w:r>
      <w:rPr>
        <w:bCs/>
      </w:rPr>
      <w:t>April 2023</w:t>
    </w:r>
  </w:p>
  <w:p w:rsidR="00B72439" w:rsidRDefault="00B7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7E95" w:rsidRDefault="008E7E95" w:rsidP="00B72439">
      <w:pPr>
        <w:spacing w:after="0" w:line="240" w:lineRule="auto"/>
      </w:pPr>
      <w:r>
        <w:separator/>
      </w:r>
    </w:p>
  </w:footnote>
  <w:footnote w:type="continuationSeparator" w:id="0">
    <w:p w:rsidR="008E7E95" w:rsidRDefault="008E7E95" w:rsidP="00B72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506794249">
    <w:abstractNumId w:val="1"/>
  </w:num>
  <w:num w:numId="2" w16cid:durableId="1195654433">
    <w:abstractNumId w:val="0"/>
  </w:num>
  <w:num w:numId="3" w16cid:durableId="1352418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B4"/>
    <w:rsid w:val="000417C5"/>
    <w:rsid w:val="00116C15"/>
    <w:rsid w:val="00131820"/>
    <w:rsid w:val="00156350"/>
    <w:rsid w:val="00187DD5"/>
    <w:rsid w:val="0023374E"/>
    <w:rsid w:val="00276E63"/>
    <w:rsid w:val="00334685"/>
    <w:rsid w:val="003C6EC1"/>
    <w:rsid w:val="003E18B3"/>
    <w:rsid w:val="00400DED"/>
    <w:rsid w:val="0043298F"/>
    <w:rsid w:val="00455C0C"/>
    <w:rsid w:val="0048009E"/>
    <w:rsid w:val="004A3968"/>
    <w:rsid w:val="004C0AB4"/>
    <w:rsid w:val="00575FDD"/>
    <w:rsid w:val="005950EF"/>
    <w:rsid w:val="005A3613"/>
    <w:rsid w:val="006C0DF0"/>
    <w:rsid w:val="006E2433"/>
    <w:rsid w:val="00783F18"/>
    <w:rsid w:val="007A6387"/>
    <w:rsid w:val="007B7E3F"/>
    <w:rsid w:val="00806C1D"/>
    <w:rsid w:val="008E7E95"/>
    <w:rsid w:val="00952FAB"/>
    <w:rsid w:val="009D092A"/>
    <w:rsid w:val="00A13166"/>
    <w:rsid w:val="00B72439"/>
    <w:rsid w:val="00BD1300"/>
    <w:rsid w:val="00C70CFC"/>
    <w:rsid w:val="00C86E01"/>
    <w:rsid w:val="00D05EF6"/>
    <w:rsid w:val="00E6738C"/>
    <w:rsid w:val="00EF28A8"/>
    <w:rsid w:val="00F1592D"/>
    <w:rsid w:val="00F279A5"/>
    <w:rsid w:val="00F57600"/>
    <w:rsid w:val="00FA20EB"/>
    <w:rsid w:val="00FF31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E39356"/>
  <w15:docId w15:val="{0834BE90-113F-4D61-A2E8-D97F6143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E63"/>
    <w:pPr>
      <w:spacing w:after="160" w:line="259" w:lineRule="auto"/>
    </w:pPr>
    <w:rPr>
      <w:rFonts w:ascii="Arial" w:hAnsi="Arial"/>
      <w:sz w:val="24"/>
      <w:szCs w:val="22"/>
      <w:lang w:val="en-AU" w:eastAsia="en-US"/>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imes New Roman"/>
      <w:b/>
      <w:sz w:val="40"/>
      <w:szCs w:val="32"/>
    </w:rPr>
  </w:style>
  <w:style w:type="paragraph" w:styleId="Heading2">
    <w:name w:val="heading 2"/>
    <w:basedOn w:val="Normal"/>
    <w:next w:val="Normal"/>
    <w:link w:val="Heading2Char"/>
    <w:autoRedefine/>
    <w:uiPriority w:val="9"/>
    <w:unhideWhenUsed/>
    <w:qFormat/>
    <w:rsid w:val="00F279A5"/>
    <w:pPr>
      <w:keepNext/>
      <w:keepLines/>
      <w:spacing w:before="40" w:after="0"/>
      <w:outlineLvl w:val="1"/>
    </w:pPr>
    <w:rPr>
      <w:rFonts w:eastAsia="Times New Roman"/>
      <w:b/>
      <w:sz w:val="32"/>
      <w:szCs w:val="24"/>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imes New Roman"/>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imes New Roman"/>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6C0DF0"/>
    <w:rPr>
      <w:rFonts w:ascii="Arial" w:eastAsia="Times New Roman" w:hAnsi="Arial" w:cs="Times New Roman"/>
      <w:b/>
      <w:iCs/>
      <w:sz w:val="28"/>
    </w:rPr>
  </w:style>
  <w:style w:type="character" w:customStyle="1" w:styleId="Heading1Char">
    <w:name w:val="Heading 1 Char"/>
    <w:link w:val="Heading1"/>
    <w:uiPriority w:val="9"/>
    <w:rsid w:val="0048009E"/>
    <w:rPr>
      <w:rFonts w:ascii="Arial" w:eastAsia="Times New Roman" w:hAnsi="Arial" w:cs="Times New Roman"/>
      <w:b/>
      <w:sz w:val="40"/>
      <w:szCs w:val="32"/>
    </w:rPr>
  </w:style>
  <w:style w:type="character" w:customStyle="1" w:styleId="Heading2Char">
    <w:name w:val="Heading 2 Char"/>
    <w:link w:val="Heading2"/>
    <w:uiPriority w:val="9"/>
    <w:rsid w:val="00F279A5"/>
    <w:rPr>
      <w:rFonts w:ascii="Arial" w:eastAsia="Times New Roman" w:hAnsi="Arial"/>
      <w:b/>
      <w:sz w:val="32"/>
      <w:szCs w:val="24"/>
      <w:lang w:val="en-AU" w:eastAsia="en-US"/>
    </w:rPr>
  </w:style>
  <w:style w:type="character" w:customStyle="1" w:styleId="Heading3Char">
    <w:name w:val="Heading 3 Char"/>
    <w:link w:val="Heading3"/>
    <w:uiPriority w:val="9"/>
    <w:rsid w:val="00276E63"/>
    <w:rPr>
      <w:rFonts w:ascii="Arial" w:eastAsia="Times New Roman" w:hAnsi="Arial" w:cs="Times New Roman"/>
      <w:sz w:val="32"/>
      <w:szCs w:val="24"/>
    </w:rPr>
  </w:style>
  <w:style w:type="character" w:styleId="Hyperlink">
    <w:name w:val="Hyperlink"/>
    <w:uiPriority w:val="99"/>
    <w:unhideWhenUsed/>
    <w:rsid w:val="00EF28A8"/>
    <w:rPr>
      <w:color w:val="0563C1"/>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F28A8"/>
    <w:rPr>
      <w:rFonts w:ascii="Segoe UI" w:hAnsi="Segoe UI" w:cs="Segoe UI"/>
      <w:sz w:val="18"/>
      <w:szCs w:val="18"/>
    </w:rPr>
  </w:style>
  <w:style w:type="paragraph" w:styleId="Header">
    <w:name w:val="header"/>
    <w:basedOn w:val="Normal"/>
    <w:link w:val="HeaderChar"/>
    <w:uiPriority w:val="99"/>
    <w:unhideWhenUsed/>
    <w:rsid w:val="00B72439"/>
    <w:pPr>
      <w:tabs>
        <w:tab w:val="center" w:pos="4513"/>
        <w:tab w:val="right" w:pos="9026"/>
      </w:tabs>
      <w:spacing w:after="0" w:line="240" w:lineRule="auto"/>
    </w:pPr>
  </w:style>
  <w:style w:type="character" w:customStyle="1" w:styleId="HeaderChar">
    <w:name w:val="Header Char"/>
    <w:link w:val="Header"/>
    <w:uiPriority w:val="99"/>
    <w:rsid w:val="00B72439"/>
    <w:rPr>
      <w:rFonts w:ascii="Arial" w:hAnsi="Arial"/>
      <w:sz w:val="24"/>
    </w:rPr>
  </w:style>
  <w:style w:type="paragraph" w:styleId="Footer">
    <w:name w:val="footer"/>
    <w:basedOn w:val="Normal"/>
    <w:link w:val="FooterChar"/>
    <w:uiPriority w:val="99"/>
    <w:unhideWhenUsed/>
    <w:rsid w:val="00B72439"/>
    <w:pPr>
      <w:tabs>
        <w:tab w:val="center" w:pos="4513"/>
        <w:tab w:val="right" w:pos="9026"/>
      </w:tabs>
      <w:spacing w:after="0" w:line="240" w:lineRule="auto"/>
    </w:pPr>
  </w:style>
  <w:style w:type="character" w:customStyle="1" w:styleId="FooterChar">
    <w:name w:val="Footer Char"/>
    <w:link w:val="Footer"/>
    <w:uiPriority w:val="99"/>
    <w:rsid w:val="00B7243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CC36008E-BBF3-453C-9670-BCD56E9E3C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1880</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Board of Trustees Policy: Principal’s Professional Expenses (NAG 4)</vt:lpstr>
      <vt:lpstr>    Blind &amp; Low Vision Education Network NZ</vt:lpstr>
      <vt:lpstr>    Statement of Intent:</vt:lpstr>
      <vt:lpstr>    Policy Guidelines:</vt:lpstr>
      <vt:lpstr>    Supporting Documents:</vt:lpstr>
    </vt:vector>
  </TitlesOfParts>
  <Company>Hewlett-Packard</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cp:lastModifiedBy>Janny Cooke</cp:lastModifiedBy>
  <cp:revision>3</cp:revision>
  <cp:lastPrinted>2023-02-01T20:39:00Z</cp:lastPrinted>
  <dcterms:created xsi:type="dcterms:W3CDTF">2023-05-22T01:42:00Z</dcterms:created>
  <dcterms:modified xsi:type="dcterms:W3CDTF">2023-05-22T01:44:00Z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